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66E4F" w14:textId="4F18BB87" w:rsidR="009D5351" w:rsidRPr="003A08DE" w:rsidRDefault="00000000">
      <w:pPr>
        <w:spacing w:beforeLines="0" w:before="0" w:afterLines="0" w:after="60"/>
        <w:rPr>
          <w:rFonts w:ascii="Arial" w:eastAsiaTheme="minorEastAsia" w:hAnsi="Arial" w:cs="Arial" w:hint="eastAsia"/>
          <w:b/>
          <w:bCs/>
          <w:sz w:val="24"/>
          <w:lang w:val="de-DE"/>
        </w:rPr>
      </w:pPr>
      <w:r>
        <w:rPr>
          <w:rFonts w:ascii="Arial" w:hAnsi="Arial" w:cs="Arial"/>
          <w:b/>
          <w:bCs/>
          <w:sz w:val="24"/>
          <w:lang w:val="de-DE"/>
        </w:rPr>
        <w:t>3GPP TSG RAN WG 2 #</w:t>
      </w:r>
      <w:r>
        <w:rPr>
          <w:rFonts w:ascii="Arial" w:eastAsia="宋体" w:hAnsi="Arial" w:cs="Arial" w:hint="eastAsia"/>
          <w:b/>
          <w:bCs/>
          <w:sz w:val="24"/>
          <w:lang w:val="de-DE"/>
        </w:rPr>
        <w:t>131-bis</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R</w:t>
      </w:r>
      <w:r>
        <w:rPr>
          <w:rFonts w:ascii="Arial" w:eastAsiaTheme="minorEastAsia" w:hAnsi="Arial" w:cs="Arial" w:hint="eastAsia"/>
          <w:b/>
          <w:bCs/>
          <w:sz w:val="24"/>
          <w:lang w:val="de-DE"/>
        </w:rPr>
        <w:t>2</w:t>
      </w:r>
      <w:r>
        <w:rPr>
          <w:rFonts w:ascii="Arial" w:hAnsi="Arial" w:cs="Arial"/>
          <w:b/>
          <w:bCs/>
          <w:sz w:val="24"/>
          <w:lang w:val="de-DE"/>
        </w:rPr>
        <w:t>-25</w:t>
      </w:r>
      <w:r w:rsidR="003A08DE">
        <w:rPr>
          <w:rFonts w:ascii="Arial" w:eastAsiaTheme="minorEastAsia" w:hAnsi="Arial" w:cs="Arial" w:hint="eastAsia"/>
          <w:b/>
          <w:bCs/>
          <w:sz w:val="24"/>
          <w:lang w:val="de-DE"/>
        </w:rPr>
        <w:t>06992</w:t>
      </w:r>
    </w:p>
    <w:p w14:paraId="7A92B4C5" w14:textId="77777777" w:rsidR="009D5351" w:rsidRDefault="00000000">
      <w:pPr>
        <w:tabs>
          <w:tab w:val="left" w:pos="1820"/>
        </w:tabs>
        <w:spacing w:beforeLines="0" w:before="0" w:afterLines="0" w:after="60"/>
        <w:rPr>
          <w:rFonts w:ascii="Arial" w:hAnsi="Arial" w:cs="Arial"/>
          <w:b/>
          <w:bCs/>
          <w:sz w:val="24"/>
          <w:lang w:val="en-GB"/>
        </w:rPr>
      </w:pPr>
      <w:r>
        <w:rPr>
          <w:rFonts w:ascii="Arial" w:hAnsi="Arial" w:cs="Arial"/>
          <w:b/>
          <w:bCs/>
          <w:sz w:val="24"/>
        </w:rPr>
        <w:t>Prague, Czech Republic</w:t>
      </w:r>
      <w:r>
        <w:rPr>
          <w:rFonts w:ascii="Arial" w:eastAsiaTheme="minorEastAsia" w:hAnsi="Arial" w:cs="Arial" w:hint="eastAsia"/>
          <w:b/>
          <w:bCs/>
          <w:sz w:val="24"/>
        </w:rPr>
        <w:t xml:space="preserve">, </w:t>
      </w:r>
      <w:r>
        <w:rPr>
          <w:rFonts w:ascii="Arial" w:eastAsiaTheme="minorEastAsia" w:hAnsi="Arial" w:cs="Arial" w:hint="eastAsia"/>
          <w:b/>
          <w:bCs/>
          <w:sz w:val="24"/>
          <w:lang w:val="en-GB"/>
        </w:rPr>
        <w:t>October 13</w:t>
      </w:r>
      <w:r>
        <w:rPr>
          <w:rFonts w:ascii="Arial" w:eastAsiaTheme="minorEastAsia" w:hAnsi="Arial" w:cs="Arial" w:hint="eastAsia"/>
          <w:b/>
          <w:bCs/>
          <w:sz w:val="24"/>
          <w:vertAlign w:val="superscript"/>
          <w:lang w:val="en-GB"/>
        </w:rPr>
        <w:t>th</w:t>
      </w:r>
      <w:r>
        <w:rPr>
          <w:rFonts w:ascii="Arial" w:eastAsiaTheme="minorEastAsia" w:hAnsi="Arial" w:cs="Arial" w:hint="eastAsia"/>
          <w:b/>
          <w:bCs/>
          <w:sz w:val="24"/>
          <w:lang w:val="en-GB"/>
        </w:rPr>
        <w:t>-17</w:t>
      </w:r>
      <w:r>
        <w:rPr>
          <w:rFonts w:ascii="Arial" w:eastAsiaTheme="minorEastAsia" w:hAnsi="Arial" w:cs="Arial" w:hint="eastAsia"/>
          <w:b/>
          <w:bCs/>
          <w:sz w:val="24"/>
          <w:vertAlign w:val="superscript"/>
          <w:lang w:val="en-GB"/>
        </w:rPr>
        <w:t>th</w:t>
      </w:r>
      <w:r>
        <w:rPr>
          <w:rFonts w:ascii="Arial" w:eastAsiaTheme="minorEastAsia" w:hAnsi="Arial" w:cs="Arial" w:hint="eastAsia"/>
          <w:b/>
          <w:bCs/>
          <w:sz w:val="24"/>
          <w:lang w:val="en-GB"/>
        </w:rPr>
        <w:t>,</w:t>
      </w:r>
      <w:r>
        <w:rPr>
          <w:rFonts w:ascii="Arial" w:hAnsi="Arial" w:cs="Arial"/>
          <w:b/>
          <w:bCs/>
          <w:sz w:val="24"/>
          <w:lang w:val="en-GB"/>
        </w:rPr>
        <w:t xml:space="preserve"> 2025</w:t>
      </w:r>
    </w:p>
    <w:p w14:paraId="692DF53B" w14:textId="77777777" w:rsidR="009D5351" w:rsidRDefault="009D5351">
      <w:pPr>
        <w:tabs>
          <w:tab w:val="left" w:pos="1820"/>
        </w:tabs>
        <w:spacing w:beforeLines="0" w:before="0" w:afterLines="0" w:after="60"/>
        <w:rPr>
          <w:rFonts w:ascii="Arial" w:eastAsia="宋体" w:hAnsi="Arial" w:cs="Arial"/>
          <w:b/>
          <w:sz w:val="24"/>
          <w:szCs w:val="24"/>
          <w:lang w:val="en-GB"/>
        </w:rPr>
      </w:pPr>
    </w:p>
    <w:p w14:paraId="2325C874" w14:textId="77777777" w:rsidR="009D5351" w:rsidRDefault="00000000">
      <w:pPr>
        <w:tabs>
          <w:tab w:val="left" w:pos="1820"/>
        </w:tabs>
        <w:spacing w:beforeLines="0" w:before="0" w:afterLines="0" w:after="60"/>
        <w:rPr>
          <w:rFonts w:ascii="Arial" w:eastAsia="宋体" w:hAnsi="Arial" w:cs="Arial"/>
          <w:b/>
          <w:bCs/>
          <w:sz w:val="24"/>
          <w:szCs w:val="24"/>
        </w:rPr>
      </w:pPr>
      <w:r>
        <w:rPr>
          <w:rFonts w:ascii="Arial" w:eastAsia="宋体" w:hAnsi="Arial" w:cs="Arial"/>
          <w:b/>
          <w:sz w:val="24"/>
          <w:szCs w:val="24"/>
          <w:lang w:val="en-AU"/>
        </w:rPr>
        <w:t>Agenda Item:</w:t>
      </w:r>
      <w:r>
        <w:rPr>
          <w:rFonts w:ascii="Arial" w:eastAsia="宋体" w:hAnsi="Arial" w:cs="Arial"/>
          <w:b/>
          <w:bCs/>
          <w:sz w:val="24"/>
          <w:szCs w:val="24"/>
          <w:lang w:val="en-AU"/>
        </w:rPr>
        <w:tab/>
      </w:r>
      <w:bookmarkStart w:id="0" w:name="OLE_LINK6"/>
      <w:bookmarkStart w:id="1" w:name="OLE_LINK7"/>
      <w:r>
        <w:rPr>
          <w:rFonts w:ascii="Arial" w:eastAsia="宋体" w:hAnsi="Arial" w:cs="Arial" w:hint="eastAsia"/>
          <w:b/>
          <w:bCs/>
          <w:sz w:val="24"/>
          <w:szCs w:val="24"/>
        </w:rPr>
        <w:t>10.2</w:t>
      </w:r>
    </w:p>
    <w:p w14:paraId="7B87D2D1" w14:textId="77777777" w:rsidR="009D5351" w:rsidRDefault="00000000">
      <w:pPr>
        <w:tabs>
          <w:tab w:val="left" w:pos="1824"/>
        </w:tabs>
        <w:spacing w:beforeLines="0" w:before="0" w:afterLines="0" w:after="60"/>
        <w:rPr>
          <w:rFonts w:ascii="Arial" w:eastAsia="宋体" w:hAnsi="Arial" w:cs="Arial"/>
          <w:b/>
          <w:bCs/>
          <w:sz w:val="24"/>
          <w:szCs w:val="24"/>
          <w:lang w:val="en-AU"/>
        </w:rPr>
      </w:pPr>
      <w:r>
        <w:rPr>
          <w:rFonts w:ascii="Arial" w:eastAsia="宋体" w:hAnsi="Arial" w:cs="Arial"/>
          <w:b/>
          <w:sz w:val="24"/>
          <w:szCs w:val="24"/>
          <w:lang w:val="en-AU"/>
        </w:rPr>
        <w:t>Source:</w:t>
      </w:r>
      <w:r>
        <w:rPr>
          <w:rFonts w:ascii="Arial" w:eastAsia="宋体" w:hAnsi="Arial" w:cs="Arial"/>
          <w:b/>
          <w:bCs/>
          <w:sz w:val="24"/>
          <w:szCs w:val="24"/>
          <w:lang w:val="en-AU"/>
        </w:rPr>
        <w:tab/>
        <w:t>CSCN</w:t>
      </w:r>
    </w:p>
    <w:p w14:paraId="24AFA379" w14:textId="77777777" w:rsidR="009D5351" w:rsidRDefault="00000000">
      <w:pPr>
        <w:tabs>
          <w:tab w:val="left" w:pos="1820"/>
        </w:tabs>
        <w:spacing w:beforeLines="0" w:before="0" w:afterLines="0" w:after="60"/>
        <w:ind w:left="1820" w:hanging="1820"/>
        <w:rPr>
          <w:rFonts w:ascii="Arial" w:eastAsia="宋体" w:hAnsi="Arial" w:cs="Arial"/>
          <w:b/>
          <w:sz w:val="24"/>
          <w:szCs w:val="24"/>
        </w:rPr>
      </w:pPr>
      <w:r>
        <w:rPr>
          <w:rFonts w:ascii="Arial" w:eastAsia="宋体" w:hAnsi="Arial" w:cs="Arial"/>
          <w:b/>
          <w:sz w:val="24"/>
          <w:szCs w:val="24"/>
          <w:lang w:val="en-AU"/>
        </w:rPr>
        <w:t>Title:</w:t>
      </w:r>
      <w:r>
        <w:rPr>
          <w:rFonts w:ascii="Arial" w:eastAsia="宋体" w:hAnsi="Arial" w:cs="Arial"/>
          <w:b/>
          <w:bCs/>
          <w:sz w:val="24"/>
          <w:szCs w:val="24"/>
          <w:lang w:val="en-AU"/>
        </w:rPr>
        <w:tab/>
      </w:r>
      <w:r>
        <w:rPr>
          <w:rFonts w:ascii="Arial" w:eastAsia="宋体" w:hAnsi="Arial" w:cs="Arial" w:hint="eastAsia"/>
          <w:b/>
          <w:bCs/>
          <w:sz w:val="24"/>
          <w:szCs w:val="24"/>
        </w:rPr>
        <w:t>Discussion on the general aspects of 6G NTN</w:t>
      </w:r>
    </w:p>
    <w:p w14:paraId="011F2311" w14:textId="77777777" w:rsidR="009D5351" w:rsidRDefault="00000000">
      <w:pPr>
        <w:pBdr>
          <w:bottom w:val="single" w:sz="12" w:space="1" w:color="auto"/>
        </w:pBdr>
        <w:tabs>
          <w:tab w:val="left" w:pos="1820"/>
        </w:tabs>
        <w:spacing w:beforeLines="0" w:before="0" w:afterLines="0" w:after="60"/>
        <w:ind w:left="1820" w:hanging="1820"/>
        <w:rPr>
          <w:rFonts w:ascii="Arial" w:eastAsia="宋体" w:hAnsi="Arial" w:cs="Arial"/>
          <w:b/>
          <w:bCs/>
          <w:sz w:val="24"/>
          <w:szCs w:val="24"/>
          <w:lang w:val="en-AU"/>
        </w:rPr>
      </w:pPr>
      <w:r>
        <w:rPr>
          <w:rFonts w:ascii="Arial" w:eastAsia="宋体" w:hAnsi="Arial" w:cs="Arial"/>
          <w:b/>
          <w:sz w:val="24"/>
          <w:szCs w:val="24"/>
          <w:lang w:val="en-AU"/>
        </w:rPr>
        <w:t>Document for:</w:t>
      </w:r>
      <w:r>
        <w:rPr>
          <w:rFonts w:ascii="Arial" w:eastAsia="宋体" w:hAnsi="Arial" w:cs="Arial"/>
          <w:b/>
          <w:bCs/>
          <w:sz w:val="24"/>
          <w:szCs w:val="24"/>
          <w:lang w:val="en-AU"/>
        </w:rPr>
        <w:tab/>
      </w:r>
      <w:r>
        <w:rPr>
          <w:rFonts w:ascii="Arial" w:eastAsia="宋体" w:hAnsi="Arial" w:cs="Arial"/>
          <w:b/>
          <w:sz w:val="24"/>
          <w:szCs w:val="24"/>
          <w:lang w:val="en-AU"/>
        </w:rPr>
        <w:t>Discussion</w:t>
      </w:r>
      <w:bookmarkEnd w:id="0"/>
      <w:bookmarkEnd w:id="1"/>
    </w:p>
    <w:p w14:paraId="2290E8F1" w14:textId="77777777" w:rsidR="009D5351" w:rsidRDefault="00000000">
      <w:pPr>
        <w:pStyle w:val="1"/>
        <w:numPr>
          <w:ilvl w:val="0"/>
          <w:numId w:val="1"/>
        </w:numPr>
        <w:spacing w:before="156" w:after="156"/>
        <w:rPr>
          <w:rFonts w:eastAsia="宋体"/>
          <w:sz w:val="28"/>
          <w:szCs w:val="28"/>
        </w:rPr>
      </w:pPr>
      <w:r>
        <w:rPr>
          <w:rFonts w:eastAsia="宋体" w:hint="eastAsia"/>
          <w:sz w:val="28"/>
          <w:szCs w:val="28"/>
        </w:rPr>
        <w:t>Introduction</w:t>
      </w:r>
    </w:p>
    <w:p w14:paraId="2C452E02" w14:textId="5E21E906" w:rsidR="009D5351" w:rsidRDefault="00000000">
      <w:pPr>
        <w:spacing w:before="156" w:after="156"/>
        <w:rPr>
          <w:rFonts w:eastAsia="宋体"/>
        </w:rPr>
      </w:pPr>
      <w:r>
        <w:rPr>
          <w:rFonts w:eastAsia="宋体" w:hint="eastAsia"/>
        </w:rPr>
        <w:t xml:space="preserve">In RAN#109 meeting, </w:t>
      </w:r>
      <w:r>
        <w:t>RP-25</w:t>
      </w:r>
      <w:r>
        <w:rPr>
          <w:rFonts w:hint="eastAsia"/>
          <w:lang w:eastAsia="ja-JP"/>
        </w:rPr>
        <w:t>28</w:t>
      </w:r>
      <w:r>
        <w:rPr>
          <w:rFonts w:eastAsia="宋体" w:hint="eastAsia"/>
        </w:rPr>
        <w:t>82</w:t>
      </w:r>
      <w:r w:rsidR="00080592">
        <w:rPr>
          <w:rFonts w:eastAsia="宋体" w:hint="eastAsia"/>
        </w:rPr>
        <w:t xml:space="preserve"> </w:t>
      </w:r>
      <w:r>
        <w:rPr>
          <w:rFonts w:eastAsia="宋体" w:hint="eastAsia"/>
        </w:rPr>
        <w:t xml:space="preserve">[1] was approved on the section of requirements for architecture and migration, as shown below, and mentioned that </w:t>
      </w:r>
      <w:r>
        <w:rPr>
          <w:rFonts w:eastAsia="宋体"/>
        </w:rPr>
        <w:t>“The 6G RAN architecture shall be designed considering both terrestrial network and non-terrestrial network.”</w:t>
      </w:r>
      <w:r>
        <w:rPr>
          <w:rFonts w:eastAsia="宋体" w:hint="eastAsia"/>
        </w:rPr>
        <w:t xml:space="preserve"> There is also detailed object captured in RP-252912[2] that </w:t>
      </w:r>
      <w:r>
        <w:rPr>
          <w:rFonts w:eastAsia="宋体"/>
        </w:rPr>
        <w:t>“</w:t>
      </w:r>
      <w:r>
        <w:rPr>
          <w:rFonts w:eastAsia="宋体" w:hint="eastAsia"/>
        </w:rPr>
        <w:t>Aim at a harmonized 6G Radio design for TN and NTN, including their integration.</w:t>
      </w:r>
      <w:r>
        <w:rPr>
          <w:rFonts w:eastAsia="宋体"/>
        </w:rPr>
        <w:t>”</w:t>
      </w:r>
      <w:r>
        <w:rPr>
          <w:rFonts w:eastAsia="宋体" w:hint="eastAsia"/>
        </w:rPr>
        <w:t xml:space="preserve"> Meanwhile, RP-2873[3] endorsed 6G should study further whether and how to support NTN-specific device types. </w:t>
      </w:r>
    </w:p>
    <w:tbl>
      <w:tblPr>
        <w:tblStyle w:val="aa"/>
        <w:tblW w:w="0" w:type="auto"/>
        <w:tblLook w:val="04A0" w:firstRow="1" w:lastRow="0" w:firstColumn="1" w:lastColumn="0" w:noHBand="0" w:noVBand="1"/>
      </w:tblPr>
      <w:tblGrid>
        <w:gridCol w:w="9346"/>
      </w:tblGrid>
      <w:tr w:rsidR="009D5351" w14:paraId="60DC0136" w14:textId="77777777">
        <w:tc>
          <w:tcPr>
            <w:tcW w:w="9572" w:type="dxa"/>
          </w:tcPr>
          <w:p w14:paraId="7502DA81" w14:textId="77777777" w:rsidR="009D5351" w:rsidRDefault="00000000">
            <w:pPr>
              <w:keepNext/>
              <w:keepLines/>
              <w:spacing w:before="156" w:after="156" w:line="259" w:lineRule="auto"/>
              <w:ind w:left="640" w:hangingChars="200" w:hanging="640"/>
              <w:outlineLvl w:val="1"/>
              <w:rPr>
                <w:rFonts w:ascii="Arial" w:hAnsi="Arial"/>
                <w:sz w:val="32"/>
                <w:szCs w:val="22"/>
              </w:rPr>
            </w:pPr>
            <w:r>
              <w:rPr>
                <w:rFonts w:ascii="Arial" w:hAnsi="Arial"/>
                <w:sz w:val="32"/>
                <w:szCs w:val="22"/>
              </w:rPr>
              <w:t>Requirements for architecture and migration</w:t>
            </w:r>
          </w:p>
          <w:p w14:paraId="09856BE8" w14:textId="77777777" w:rsidR="009D5351" w:rsidRDefault="00000000">
            <w:pPr>
              <w:spacing w:before="156" w:after="156"/>
              <w:rPr>
                <w:lang w:eastAsia="ja-JP"/>
              </w:rPr>
            </w:pPr>
            <w:r>
              <w:t>E</w:t>
            </w:r>
            <w:r>
              <w:rPr>
                <w:rFonts w:hint="eastAsia"/>
              </w:rPr>
              <w:t xml:space="preserve">ditor note: </w:t>
            </w:r>
            <w:r>
              <w:t>6G RAN architecture, 5G-6G migration</w:t>
            </w:r>
          </w:p>
          <w:p w14:paraId="5E8967D7" w14:textId="77777777" w:rsidR="009D5351" w:rsidRDefault="00000000">
            <w:pPr>
              <w:overflowPunct w:val="0"/>
              <w:autoSpaceDE w:val="0"/>
              <w:autoSpaceDN w:val="0"/>
              <w:adjustRightInd w:val="0"/>
              <w:spacing w:before="156" w:after="156"/>
              <w:textAlignment w:val="baseline"/>
            </w:pPr>
            <w:r>
              <w:t>The RAN design for the 6G Radio Access Technologies shall be designed to fulfil the following requirements:</w:t>
            </w:r>
          </w:p>
          <w:p w14:paraId="586184A9" w14:textId="77777777" w:rsidR="009D5351" w:rsidRDefault="00000000">
            <w:pPr>
              <w:pStyle w:val="B1"/>
              <w:rPr>
                <w:rFonts w:eastAsiaTheme="minorEastAsia"/>
                <w:lang w:val="nb-NO"/>
              </w:rPr>
            </w:pPr>
            <w:r>
              <w:rPr>
                <w:rFonts w:eastAsiaTheme="minorEastAsia" w:hint="eastAsia"/>
                <w:lang w:val="nb-NO"/>
              </w:rPr>
              <w:t>...</w:t>
            </w:r>
          </w:p>
          <w:p w14:paraId="302B3444" w14:textId="77777777" w:rsidR="009D5351" w:rsidRDefault="00000000">
            <w:pPr>
              <w:pStyle w:val="B1"/>
              <w:rPr>
                <w:rFonts w:eastAsiaTheme="minorEastAsia"/>
                <w:lang w:val="nb-NO"/>
              </w:rPr>
            </w:pPr>
            <w:r>
              <w:rPr>
                <w:lang w:val="nb-NO"/>
              </w:rPr>
              <w:t>-</w:t>
            </w:r>
            <w:r>
              <w:rPr>
                <w:lang w:val="nb-NO"/>
              </w:rPr>
              <w:tab/>
            </w:r>
            <w:r>
              <w:rPr>
                <w:highlight w:val="yellow"/>
                <w:lang w:val="nb-NO"/>
              </w:rPr>
              <w:t>The 6G RAN architecture shall be designed considering both terrestrial network and non-terrestrial network</w:t>
            </w:r>
            <w:r>
              <w:rPr>
                <w:lang w:val="nb-NO"/>
              </w:rPr>
              <w:t>.</w:t>
            </w:r>
          </w:p>
          <w:p w14:paraId="0480EBA0" w14:textId="77777777" w:rsidR="009D5351" w:rsidRDefault="00000000">
            <w:pPr>
              <w:pStyle w:val="B1"/>
              <w:rPr>
                <w:rFonts w:eastAsiaTheme="minorEastAsia"/>
              </w:rPr>
            </w:pPr>
            <w:r>
              <w:rPr>
                <w:rFonts w:eastAsiaTheme="minorEastAsia" w:hint="eastAsia"/>
                <w:lang w:val="nb-NO"/>
              </w:rPr>
              <w:t>...</w:t>
            </w:r>
          </w:p>
        </w:tc>
      </w:tr>
    </w:tbl>
    <w:p w14:paraId="73275546" w14:textId="77777777" w:rsidR="009D5351" w:rsidRDefault="009D5351">
      <w:pPr>
        <w:spacing w:before="156" w:after="156"/>
        <w:rPr>
          <w:rFonts w:eastAsia="宋体"/>
        </w:rPr>
      </w:pPr>
    </w:p>
    <w:tbl>
      <w:tblPr>
        <w:tblStyle w:val="aa"/>
        <w:tblW w:w="0" w:type="auto"/>
        <w:tblLook w:val="04A0" w:firstRow="1" w:lastRow="0" w:firstColumn="1" w:lastColumn="0" w:noHBand="0" w:noVBand="1"/>
      </w:tblPr>
      <w:tblGrid>
        <w:gridCol w:w="9346"/>
      </w:tblGrid>
      <w:tr w:rsidR="009D5351" w14:paraId="19BD43C4" w14:textId="77777777">
        <w:tc>
          <w:tcPr>
            <w:tcW w:w="9572" w:type="dxa"/>
          </w:tcPr>
          <w:p w14:paraId="46FF4468" w14:textId="77777777" w:rsidR="009D5351" w:rsidRDefault="00000000">
            <w:pPr>
              <w:pStyle w:val="3"/>
              <w:numPr>
                <w:ilvl w:val="1"/>
                <w:numId w:val="0"/>
              </w:numPr>
              <w:spacing w:before="156" w:after="156"/>
            </w:pPr>
            <w:r>
              <w:lastRenderedPageBreak/>
              <w:t>4.1</w:t>
            </w:r>
            <w:r>
              <w:tab/>
              <w:t>Objective of SI or Core part WI or Testing part WI</w:t>
            </w:r>
          </w:p>
          <w:p w14:paraId="49F02BDD" w14:textId="77777777" w:rsidR="009D5351" w:rsidRDefault="00000000">
            <w:pPr>
              <w:spacing w:before="156" w:after="156"/>
            </w:pPr>
            <w:r>
              <w:t>The detailed objectives of the study are:</w:t>
            </w:r>
          </w:p>
          <w:p w14:paraId="1DCF8E36" w14:textId="77777777" w:rsidR="009D5351" w:rsidRDefault="00000000">
            <w:pPr>
              <w:pStyle w:val="ad"/>
              <w:numPr>
                <w:ilvl w:val="0"/>
                <w:numId w:val="4"/>
              </w:numPr>
              <w:spacing w:after="120"/>
              <w:ind w:firstLine="400"/>
            </w:pPr>
            <w:r>
              <w:t>Single technology framework based on a stand-alone architecture</w:t>
            </w:r>
            <w:r>
              <w:rPr>
                <w:rFonts w:hint="eastAsia"/>
                <w:lang w:eastAsia="ja-JP"/>
              </w:rPr>
              <w:t xml:space="preserve"> (Note1)</w:t>
            </w:r>
            <w: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E8F67B0" w14:textId="77777777" w:rsidR="009D5351" w:rsidRDefault="00000000">
            <w:pPr>
              <w:pStyle w:val="ad"/>
              <w:spacing w:after="120"/>
              <w:ind w:left="1120" w:firstLineChars="350" w:firstLine="700"/>
            </w:pPr>
            <w:r>
              <w:rPr>
                <w:rFonts w:eastAsiaTheme="minorEastAsia"/>
              </w:rPr>
              <w:t>…</w:t>
            </w:r>
          </w:p>
          <w:p w14:paraId="1E899C03" w14:textId="77777777" w:rsidR="009D5351" w:rsidRDefault="00000000">
            <w:pPr>
              <w:pStyle w:val="ad"/>
              <w:spacing w:after="120"/>
              <w:ind w:left="1840" w:firstLineChars="0" w:firstLine="0"/>
              <w:rPr>
                <w:rFonts w:eastAsiaTheme="minorEastAsia"/>
                <w:highlight w:val="yellow"/>
              </w:rPr>
            </w:pPr>
            <w:r>
              <w:rPr>
                <w:rFonts w:eastAsiaTheme="minorEastAsia"/>
                <w:highlight w:val="yellow"/>
              </w:rPr>
              <w:t>J</w:t>
            </w:r>
            <w:r>
              <w:rPr>
                <w:rFonts w:eastAsiaTheme="minorEastAsia" w:hint="eastAsia"/>
                <w:highlight w:val="yellow"/>
              </w:rPr>
              <w:t xml:space="preserve">) </w:t>
            </w:r>
            <w:r>
              <w:rPr>
                <w:highlight w:val="yellow"/>
              </w:rPr>
              <w:t>Aim at a harmonized 6G Radio design for TN and NTN, including their integration.</w:t>
            </w:r>
          </w:p>
          <w:p w14:paraId="2032E719" w14:textId="77777777" w:rsidR="009D5351" w:rsidRDefault="00000000">
            <w:pPr>
              <w:pStyle w:val="ad"/>
              <w:spacing w:after="120"/>
              <w:ind w:left="1840" w:firstLineChars="0" w:firstLine="0"/>
              <w:rPr>
                <w:rFonts w:eastAsiaTheme="minorEastAsia"/>
              </w:rPr>
            </w:pPr>
            <w:r>
              <w:rPr>
                <w:rFonts w:eastAsiaTheme="minorEastAsia"/>
              </w:rPr>
              <w:t>…</w:t>
            </w:r>
          </w:p>
          <w:p w14:paraId="5BD872E9" w14:textId="77777777" w:rsidR="009D5351" w:rsidRDefault="00000000">
            <w:pPr>
              <w:spacing w:before="156" w:after="156"/>
              <w:ind w:leftChars="213" w:left="426"/>
              <w:rPr>
                <w:rFonts w:eastAsia="宋体"/>
              </w:rPr>
            </w:pPr>
            <w:r>
              <w:rPr>
                <w:rFonts w:hint="eastAsia"/>
                <w:lang w:eastAsia="ja-JP"/>
              </w:rPr>
              <w:t xml:space="preserve">Note1: </w:t>
            </w:r>
            <w:r>
              <w:rPr>
                <w:lang w:eastAsia="ja-JP"/>
              </w:rPr>
              <w:t>the term stand-alone architecture does not imply any particular Core network architecture, which is up to SA2 discussion.</w:t>
            </w:r>
          </w:p>
        </w:tc>
      </w:tr>
    </w:tbl>
    <w:p w14:paraId="0CDD77FE" w14:textId="77777777" w:rsidR="009D5351" w:rsidRDefault="009D5351">
      <w:pPr>
        <w:spacing w:before="156" w:after="156"/>
        <w:rPr>
          <w:rFonts w:eastAsia="宋体"/>
        </w:rPr>
      </w:pPr>
    </w:p>
    <w:tbl>
      <w:tblPr>
        <w:tblStyle w:val="aa"/>
        <w:tblW w:w="0" w:type="auto"/>
        <w:tblLook w:val="04A0" w:firstRow="1" w:lastRow="0" w:firstColumn="1" w:lastColumn="0" w:noHBand="0" w:noVBand="1"/>
      </w:tblPr>
      <w:tblGrid>
        <w:gridCol w:w="9346"/>
      </w:tblGrid>
      <w:tr w:rsidR="009D5351" w14:paraId="257781A2" w14:textId="77777777">
        <w:tc>
          <w:tcPr>
            <w:tcW w:w="9572" w:type="dxa"/>
          </w:tcPr>
          <w:p w14:paraId="2751112F" w14:textId="77777777" w:rsidR="009D5351" w:rsidRDefault="00000000">
            <w:pPr>
              <w:spacing w:before="156" w:after="156"/>
              <w:rPr>
                <w:szCs w:val="20"/>
              </w:rPr>
            </w:pPr>
            <w:r>
              <w:rPr>
                <w:b/>
                <w:bCs/>
                <w:szCs w:val="20"/>
                <w:u w:val="single"/>
              </w:rPr>
              <w:t>Proposal 3:</w:t>
            </w:r>
            <w:r>
              <w:rPr>
                <w:szCs w:val="20"/>
              </w:rPr>
              <w:t xml:space="preserve"> To investigate further:</w:t>
            </w:r>
          </w:p>
          <w:p w14:paraId="6C0CFD9B" w14:textId="77777777" w:rsidR="009D5351" w:rsidRDefault="00000000">
            <w:pPr>
              <w:spacing w:before="156" w:after="156"/>
              <w:ind w:left="1280"/>
              <w:rPr>
                <w:szCs w:val="20"/>
              </w:rPr>
            </w:pPr>
            <w:r>
              <w:rPr>
                <w:rFonts w:eastAsiaTheme="minorEastAsia"/>
                <w:szCs w:val="20"/>
              </w:rPr>
              <w:t>…</w:t>
            </w:r>
          </w:p>
          <w:p w14:paraId="496A12BA" w14:textId="77777777" w:rsidR="009D5351" w:rsidRDefault="00000000">
            <w:pPr>
              <w:pStyle w:val="ad"/>
              <w:numPr>
                <w:ilvl w:val="1"/>
                <w:numId w:val="5"/>
              </w:numPr>
              <w:ind w:firstLine="400"/>
              <w:rPr>
                <w:szCs w:val="20"/>
              </w:rPr>
            </w:pPr>
            <w:r>
              <w:rPr>
                <w:szCs w:val="20"/>
              </w:rPr>
              <w:t>Whether/how to have other device types for, e.g., XR/immersive experiences, FWA, VUE, wearables/</w:t>
            </w:r>
            <w:proofErr w:type="spellStart"/>
            <w:r>
              <w:rPr>
                <w:szCs w:val="20"/>
              </w:rPr>
              <w:t>RedCap</w:t>
            </w:r>
            <w:proofErr w:type="spellEnd"/>
            <w:r>
              <w:rPr>
                <w:szCs w:val="20"/>
              </w:rPr>
              <w:t xml:space="preserve">, sensing, </w:t>
            </w:r>
            <w:r>
              <w:rPr>
                <w:szCs w:val="20"/>
                <w:highlight w:val="yellow"/>
              </w:rPr>
              <w:t xml:space="preserve">NTN-specific, </w:t>
            </w:r>
            <w:r>
              <w:rPr>
                <w:szCs w:val="20"/>
              </w:rPr>
              <w:t>AI agents, collaborative robots, etc.</w:t>
            </w:r>
          </w:p>
          <w:p w14:paraId="055D474F" w14:textId="77777777" w:rsidR="009D5351" w:rsidRDefault="00000000">
            <w:pPr>
              <w:spacing w:before="156" w:after="156"/>
              <w:ind w:left="1280"/>
              <w:rPr>
                <w:rFonts w:eastAsiaTheme="minorEastAsia"/>
                <w:szCs w:val="20"/>
              </w:rPr>
            </w:pPr>
            <w:r>
              <w:rPr>
                <w:rFonts w:eastAsiaTheme="minorEastAsia"/>
                <w:szCs w:val="20"/>
              </w:rPr>
              <w:t>…</w:t>
            </w:r>
          </w:p>
          <w:p w14:paraId="66855E17" w14:textId="77777777" w:rsidR="009D5351" w:rsidRDefault="00000000">
            <w:pPr>
              <w:spacing w:before="156" w:after="156"/>
              <w:rPr>
                <w:rFonts w:eastAsia="宋体"/>
              </w:rPr>
            </w:pPr>
            <w:r>
              <w:rPr>
                <w:szCs w:val="20"/>
              </w:rPr>
              <w:t xml:space="preserve">Note: the terminology “device type” is subject to further discussion and possible refinement. </w:t>
            </w:r>
          </w:p>
        </w:tc>
      </w:tr>
    </w:tbl>
    <w:p w14:paraId="74B4DF31" w14:textId="77777777" w:rsidR="009D5351" w:rsidRDefault="00000000">
      <w:pPr>
        <w:pBdr>
          <w:bottom w:val="single" w:sz="12" w:space="1" w:color="auto"/>
        </w:pBdr>
        <w:spacing w:before="156" w:after="156"/>
        <w:rPr>
          <w:rFonts w:eastAsiaTheme="minorEastAsia" w:cs="Times New Roman"/>
        </w:rPr>
      </w:pPr>
      <w:r>
        <w:rPr>
          <w:rFonts w:eastAsiaTheme="minorEastAsia" w:cs="Times New Roman"/>
        </w:rPr>
        <w:t xml:space="preserve">We </w:t>
      </w:r>
      <w:r>
        <w:rPr>
          <w:rFonts w:eastAsiaTheme="minorEastAsia" w:cs="Times New Roman" w:hint="eastAsia"/>
        </w:rPr>
        <w:t>think</w:t>
      </w:r>
      <w:r>
        <w:rPr>
          <w:rFonts w:eastAsiaTheme="minorEastAsia" w:cs="Times New Roman"/>
        </w:rPr>
        <w:t xml:space="preserve"> that 6G needs to natively support NTN</w:t>
      </w:r>
      <w:r>
        <w:rPr>
          <w:rFonts w:eastAsiaTheme="minorEastAsia" w:cs="Times New Roman" w:hint="eastAsia"/>
        </w:rPr>
        <w:t xml:space="preserve"> from Day1</w:t>
      </w:r>
      <w:r>
        <w:rPr>
          <w:rFonts w:eastAsiaTheme="minorEastAsia" w:cs="Times New Roman"/>
        </w:rPr>
        <w:t xml:space="preserve">, and here we present </w:t>
      </w:r>
      <w:r>
        <w:rPr>
          <w:rFonts w:eastAsiaTheme="minorEastAsia" w:cs="Times New Roman" w:hint="eastAsia"/>
        </w:rPr>
        <w:t>our</w:t>
      </w:r>
      <w:r>
        <w:rPr>
          <w:rFonts w:eastAsiaTheme="minorEastAsia" w:cs="Times New Roman"/>
        </w:rPr>
        <w:t xml:space="preserve"> views</w:t>
      </w:r>
      <w:r>
        <w:rPr>
          <w:rFonts w:eastAsiaTheme="minorEastAsia" w:cs="Times New Roman" w:hint="eastAsia"/>
        </w:rPr>
        <w:t xml:space="preserve"> on the general aspects including deployment scenarios and design principle</w:t>
      </w:r>
      <w:r>
        <w:rPr>
          <w:rFonts w:eastAsiaTheme="minorEastAsia" w:cs="Times New Roman"/>
        </w:rPr>
        <w:t>.</w:t>
      </w:r>
    </w:p>
    <w:p w14:paraId="59E3559B" w14:textId="77777777" w:rsidR="009D5351" w:rsidRDefault="00000000">
      <w:pPr>
        <w:pStyle w:val="1"/>
        <w:numPr>
          <w:ilvl w:val="0"/>
          <w:numId w:val="1"/>
        </w:numPr>
        <w:spacing w:before="156" w:after="156"/>
        <w:rPr>
          <w:rFonts w:eastAsia="宋体"/>
          <w:sz w:val="28"/>
          <w:szCs w:val="28"/>
        </w:rPr>
      </w:pPr>
      <w:r>
        <w:rPr>
          <w:rFonts w:eastAsia="宋体" w:hint="eastAsia"/>
          <w:sz w:val="28"/>
          <w:szCs w:val="28"/>
        </w:rPr>
        <w:t>Discussion</w:t>
      </w:r>
    </w:p>
    <w:p w14:paraId="0158106D" w14:textId="77777777" w:rsidR="009D5351" w:rsidRDefault="00000000">
      <w:pPr>
        <w:spacing w:before="156" w:after="156"/>
        <w:rPr>
          <w:rFonts w:eastAsia="宋体"/>
        </w:rPr>
      </w:pPr>
      <w:r>
        <w:rPr>
          <w:rFonts w:eastAsia="宋体" w:hint="eastAsia"/>
        </w:rPr>
        <w:t>6G NTN</w:t>
      </w:r>
      <w:r>
        <w:rPr>
          <w:rFonts w:eastAsia="宋体"/>
        </w:rPr>
        <w:t xml:space="preserve"> deployment scenarios are defined to allow for the provision of services for those areas including vertical space (e.g., up to several kilometers altitude) where terrestrial network service is not available (on a permanent or temporary basis), and also for those services that can be more efficiently supported by Non-Terrestrial Networks. </w:t>
      </w:r>
    </w:p>
    <w:p w14:paraId="2A7AD567" w14:textId="77777777" w:rsidR="009D5351" w:rsidRDefault="00000000">
      <w:pPr>
        <w:spacing w:before="156" w:after="156"/>
        <w:rPr>
          <w:rFonts w:eastAsia="宋体"/>
        </w:rPr>
      </w:pPr>
      <w:r>
        <w:rPr>
          <w:rFonts w:eastAsia="宋体"/>
        </w:rPr>
        <w:t>Non-Terrestrial Networks can overcome coverage limitations of terrestrial networks especially in low-density populated areas and maritime areas.</w:t>
      </w:r>
    </w:p>
    <w:p w14:paraId="4559A5EA" w14:textId="77777777" w:rsidR="009D5351" w:rsidRDefault="00000000">
      <w:pPr>
        <w:spacing w:before="156" w:after="156"/>
        <w:rPr>
          <w:rFonts w:eastAsia="宋体"/>
        </w:rPr>
      </w:pPr>
      <w:r>
        <w:rPr>
          <w:rFonts w:eastAsia="宋体"/>
        </w:rPr>
        <w:t>As such, NTN will mainly contribute to:</w:t>
      </w:r>
    </w:p>
    <w:p w14:paraId="1B3ECAA7" w14:textId="77777777" w:rsidR="009D5351" w:rsidRDefault="00000000">
      <w:pPr>
        <w:numPr>
          <w:ilvl w:val="0"/>
          <w:numId w:val="6"/>
        </w:numPr>
        <w:spacing w:before="156" w:after="156"/>
        <w:rPr>
          <w:rFonts w:eastAsia="宋体"/>
        </w:rPr>
      </w:pPr>
      <w:r>
        <w:rPr>
          <w:rFonts w:eastAsia="宋体"/>
        </w:rPr>
        <w:t>Achieve ubiquitous connectivity and availability of services in remote and sparsely populated areas.</w:t>
      </w:r>
    </w:p>
    <w:p w14:paraId="52F13325" w14:textId="77777777" w:rsidR="009D5351" w:rsidRDefault="00000000">
      <w:pPr>
        <w:numPr>
          <w:ilvl w:val="0"/>
          <w:numId w:val="6"/>
        </w:numPr>
        <w:spacing w:before="156" w:after="156"/>
        <w:rPr>
          <w:rFonts w:eastAsia="宋体"/>
        </w:rPr>
      </w:pPr>
      <w:r>
        <w:rPr>
          <w:rFonts w:eastAsia="宋体"/>
        </w:rPr>
        <w:lastRenderedPageBreak/>
        <w:t>Improve overall 6G network resiliency, especially in situations where disasters disrupt terrestrial networks or damage undersea communication cables by supporting in priority critical communications and emergency communications (messaging, voice calls).</w:t>
      </w:r>
    </w:p>
    <w:p w14:paraId="0A44016A" w14:textId="77777777" w:rsidR="009D5351" w:rsidRDefault="00000000">
      <w:pPr>
        <w:pStyle w:val="ad"/>
        <w:spacing w:before="156" w:after="156"/>
        <w:ind w:firstLineChars="0" w:firstLine="0"/>
        <w:rPr>
          <w:rFonts w:eastAsia="宋体"/>
        </w:rPr>
      </w:pPr>
      <w:r>
        <w:rPr>
          <w:rFonts w:eastAsia="宋体"/>
        </w:rPr>
        <w:t>6G NTN</w:t>
      </w:r>
      <w:r>
        <w:rPr>
          <w:rFonts w:eastAsia="宋体" w:hint="eastAsia"/>
        </w:rPr>
        <w:t xml:space="preserve"> should support both regenerative and transparent payload as in 5G. and also support</w:t>
      </w:r>
      <w:r>
        <w:rPr>
          <w:rFonts w:eastAsia="宋体"/>
        </w:rPr>
        <w:t xml:space="preserve"> </w:t>
      </w:r>
      <w:r>
        <w:rPr>
          <w:rFonts w:eastAsia="宋体" w:hint="eastAsia"/>
        </w:rPr>
        <w:t>a</w:t>
      </w:r>
      <w:r>
        <w:rPr>
          <w:rFonts w:eastAsia="宋体"/>
        </w:rPr>
        <w:t>ny orbit</w:t>
      </w:r>
      <w:r>
        <w:rPr>
          <w:rFonts w:eastAsia="宋体" w:hint="eastAsia"/>
        </w:rPr>
        <w:t>s range</w:t>
      </w:r>
      <w:r>
        <w:rPr>
          <w:rFonts w:eastAsia="宋体"/>
        </w:rPr>
        <w:t xml:space="preserve"> from VLEO (300 to 600 km altitude) to GSO (~35786 km altitude), including LEO (600 to 2000 km altitude) and MEO (2000 to ~35000 km altitude). NTN may be based on a combination of orbit types (e.g. GSO and LEO)</w:t>
      </w:r>
      <w:r>
        <w:rPr>
          <w:rFonts w:eastAsia="宋体" w:hint="eastAsia"/>
        </w:rPr>
        <w:t>, m</w:t>
      </w:r>
      <w:r>
        <w:rPr>
          <w:rFonts w:eastAsia="宋体"/>
        </w:rPr>
        <w:t xml:space="preserve">ulti-orbit collaboration between LEO, MEO and GSO satellites </w:t>
      </w:r>
      <w:r>
        <w:rPr>
          <w:rFonts w:eastAsia="宋体" w:hint="eastAsia"/>
        </w:rPr>
        <w:t xml:space="preserve">can </w:t>
      </w:r>
      <w:r>
        <w:rPr>
          <w:rFonts w:eastAsia="宋体"/>
        </w:rPr>
        <w:t>be considered</w:t>
      </w:r>
      <w:r>
        <w:rPr>
          <w:rFonts w:eastAsia="宋体" w:hint="eastAsia"/>
        </w:rPr>
        <w:t xml:space="preserve"> in 6G</w:t>
      </w:r>
      <w:r>
        <w:rPr>
          <w:rFonts w:eastAsia="宋体"/>
        </w:rPr>
        <w:t>.</w:t>
      </w:r>
      <w:r>
        <w:rPr>
          <w:rFonts w:eastAsia="宋体" w:hint="eastAsia"/>
        </w:rPr>
        <w:t xml:space="preserve"> </w:t>
      </w:r>
      <w:r>
        <w:rPr>
          <w:rFonts w:eastAsia="宋体"/>
        </w:rPr>
        <w:t>W</w:t>
      </w:r>
      <w:r>
        <w:rPr>
          <w:rFonts w:eastAsia="宋体" w:hint="eastAsia"/>
        </w:rPr>
        <w:t xml:space="preserve">ith the goal of </w:t>
      </w:r>
      <w:r>
        <w:rPr>
          <w:rFonts w:eastAsia="宋体"/>
        </w:rPr>
        <w:t>seamless global coverage</w:t>
      </w:r>
      <w:r>
        <w:rPr>
          <w:rFonts w:eastAsia="宋体" w:hint="eastAsia"/>
        </w:rPr>
        <w:t xml:space="preserve"> with </w:t>
      </w:r>
      <w:r>
        <w:rPr>
          <w:rFonts w:eastAsia="宋体"/>
        </w:rPr>
        <w:t>ubiquitous connectivity</w:t>
      </w:r>
      <w:r>
        <w:rPr>
          <w:rFonts w:eastAsia="宋体" w:hint="eastAsia"/>
        </w:rPr>
        <w:t xml:space="preserve">, </w:t>
      </w:r>
      <w:r>
        <w:rPr>
          <w:rFonts w:eastAsia="宋体"/>
        </w:rPr>
        <w:t xml:space="preserve">6G NTN </w:t>
      </w:r>
      <w:r>
        <w:rPr>
          <w:rFonts w:eastAsia="宋体" w:hint="eastAsia"/>
        </w:rPr>
        <w:t xml:space="preserve">should also consider </w:t>
      </w:r>
      <w:r>
        <w:rPr>
          <w:rFonts w:eastAsia="宋体"/>
        </w:rPr>
        <w:t>the scaling evolution from sparse to dense satellite constellations</w:t>
      </w:r>
      <w:r>
        <w:rPr>
          <w:rFonts w:eastAsia="宋体" w:hint="eastAsia"/>
        </w:rPr>
        <w:t xml:space="preserve"> with r</w:t>
      </w:r>
      <w:r>
        <w:rPr>
          <w:rFonts w:eastAsia="宋体"/>
        </w:rPr>
        <w:t>esilience and service flexibility</w:t>
      </w:r>
      <w:r>
        <w:rPr>
          <w:rFonts w:eastAsia="宋体" w:hint="eastAsia"/>
        </w:rPr>
        <w:t xml:space="preserve">. </w:t>
      </w:r>
    </w:p>
    <w:p w14:paraId="6DF6F35B" w14:textId="77777777" w:rsidR="009D5351" w:rsidRDefault="00000000">
      <w:pPr>
        <w:pStyle w:val="2"/>
        <w:spacing w:before="156" w:after="156"/>
      </w:pPr>
      <w:bookmarkStart w:id="2" w:name="_Toc72164083"/>
      <w:bookmarkStart w:id="3" w:name="_Toc72166021"/>
      <w:bookmarkStart w:id="4" w:name="_Toc72166096"/>
      <w:bookmarkStart w:id="5" w:name="_Toc72163958"/>
      <w:bookmarkStart w:id="6" w:name="_Toc72166144"/>
      <w:bookmarkStart w:id="7" w:name="_Toc72166223"/>
      <w:bookmarkStart w:id="8" w:name="_Toc72764105"/>
      <w:bookmarkStart w:id="9" w:name="_Toc72164151"/>
      <w:bookmarkStart w:id="10" w:name="_Toc72164281"/>
      <w:bookmarkStart w:id="11" w:name="_Toc72166120"/>
      <w:bookmarkStart w:id="12" w:name="_Toc72764121"/>
      <w:bookmarkStart w:id="13" w:name="_Toc72166132"/>
      <w:bookmarkStart w:id="14" w:name="_Toc72166215"/>
      <w:bookmarkStart w:id="15" w:name="_Toc72764113"/>
      <w:bookmarkStart w:id="16" w:name="_Toc72764097"/>
      <w:r>
        <w:rPr>
          <w:rFonts w:hint="eastAsia"/>
        </w:rPr>
        <w:t xml:space="preserve">NTN deployment </w:t>
      </w:r>
    </w:p>
    <w:p w14:paraId="35E2DE93" w14:textId="77777777" w:rsidR="009D5351" w:rsidRDefault="00000000">
      <w:pPr>
        <w:pStyle w:val="ad"/>
        <w:numPr>
          <w:ilvl w:val="0"/>
          <w:numId w:val="7"/>
        </w:numPr>
        <w:spacing w:before="120" w:after="120"/>
        <w:ind w:firstLineChars="0"/>
        <w:rPr>
          <w:rFonts w:eastAsia="宋体"/>
          <w:b/>
          <w:bCs/>
        </w:rPr>
      </w:pPr>
      <w:r>
        <w:rPr>
          <w:rFonts w:eastAsia="宋体" w:hint="eastAsia"/>
          <w:b/>
          <w:bCs/>
        </w:rPr>
        <w:t>Cell deployment</w:t>
      </w:r>
    </w:p>
    <w:p w14:paraId="5B817243" w14:textId="77777777" w:rsidR="009D5351" w:rsidRDefault="00000000">
      <w:pPr>
        <w:spacing w:before="156" w:after="156"/>
        <w:rPr>
          <w:rFonts w:eastAsia="宋体"/>
        </w:rPr>
      </w:pPr>
      <w:r>
        <w:rPr>
          <w:rFonts w:eastAsia="宋体" w:hint="eastAsia"/>
        </w:rPr>
        <w:t xml:space="preserve">As studied and described in R16 TR38.821[4], </w:t>
      </w:r>
      <w:r>
        <w:rPr>
          <w:rFonts w:eastAsia="宋体"/>
        </w:rPr>
        <w:t>“</w:t>
      </w:r>
      <w:r>
        <w:t>Similar to TN, one or several SSB index can be used per PCI to separate SSB transmission on different beams.</w:t>
      </w:r>
      <w:r>
        <w:rPr>
          <w:rFonts w:eastAsia="宋体"/>
        </w:rPr>
        <w:t>”</w:t>
      </w:r>
      <w:r>
        <w:rPr>
          <w:rFonts w:eastAsia="宋体" w:hint="eastAsia"/>
        </w:rPr>
        <w:t xml:space="preserve"> We believe that 6G NTN can reuse the designs studied in 5G TN and NTN, whether it is SSB beam or other logical beams newly defined in 6G. As a result, 6G c</w:t>
      </w:r>
      <w:r>
        <w:rPr>
          <w:rFonts w:eastAsia="宋体"/>
        </w:rPr>
        <w:t>ell deployment</w:t>
      </w:r>
      <w:r>
        <w:rPr>
          <w:rFonts w:eastAsia="宋体" w:hint="eastAsia"/>
        </w:rPr>
        <w:t xml:space="preserve"> can include one-beam cell and multi-beam cell, as shown below.</w:t>
      </w:r>
    </w:p>
    <w:p w14:paraId="10094B69" w14:textId="77777777" w:rsidR="009D5351" w:rsidRDefault="00000000">
      <w:pPr>
        <w:pStyle w:val="ad"/>
        <w:numPr>
          <w:ilvl w:val="0"/>
          <w:numId w:val="8"/>
        </w:numPr>
        <w:spacing w:before="120" w:after="120"/>
        <w:ind w:firstLineChars="0"/>
        <w:rPr>
          <w:rFonts w:eastAsiaTheme="minorEastAsia"/>
        </w:rPr>
      </w:pPr>
      <w:r>
        <w:rPr>
          <w:rFonts w:eastAsiaTheme="minorEastAsia"/>
        </w:rPr>
        <w:t>One-beam cell: The cell consists of only one logical beam as in Figure 2.</w:t>
      </w:r>
    </w:p>
    <w:p w14:paraId="4F9EB12B" w14:textId="77777777" w:rsidR="009D5351" w:rsidRDefault="00000000">
      <w:pPr>
        <w:spacing w:before="156" w:after="156"/>
        <w:jc w:val="center"/>
        <w:rPr>
          <w:rFonts w:eastAsiaTheme="minorEastAsia"/>
        </w:rPr>
      </w:pPr>
      <w:r>
        <w:rPr>
          <w:rFonts w:eastAsiaTheme="minorEastAsia" w:hint="eastAsia"/>
        </w:rPr>
        <w:object w:dxaOrig="5411" w:dyaOrig="3600" w14:anchorId="43CDC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5pt;height:180pt" o:ole="">
            <v:imagedata r:id="rId8" o:title=""/>
            <o:lock v:ext="edit" aspectratio="f"/>
          </v:shape>
          <o:OLEObject Type="Embed" ProgID="Visio.Drawing.15" ShapeID="_x0000_i1025" DrawAspect="Content" ObjectID="_1820761940" r:id="rId9"/>
        </w:object>
      </w:r>
    </w:p>
    <w:p w14:paraId="15FF970A" w14:textId="77777777" w:rsidR="009D5351" w:rsidRDefault="00000000">
      <w:pPr>
        <w:spacing w:before="156" w:after="156"/>
        <w:jc w:val="center"/>
        <w:rPr>
          <w:rFonts w:eastAsiaTheme="minorEastAsia"/>
        </w:rPr>
      </w:pPr>
      <w:r>
        <w:rPr>
          <w:rFonts w:eastAsiaTheme="minorEastAsia" w:hint="eastAsia"/>
        </w:rPr>
        <w:t>Figure 2: O</w:t>
      </w:r>
      <w:r>
        <w:t>ne-beam cell</w:t>
      </w:r>
    </w:p>
    <w:p w14:paraId="09521B00" w14:textId="77777777" w:rsidR="009D5351" w:rsidRDefault="00000000">
      <w:pPr>
        <w:pStyle w:val="ad"/>
        <w:numPr>
          <w:ilvl w:val="0"/>
          <w:numId w:val="8"/>
        </w:numPr>
        <w:spacing w:before="120" w:after="120"/>
        <w:ind w:firstLineChars="0"/>
        <w:rPr>
          <w:rFonts w:eastAsiaTheme="minorEastAsia"/>
        </w:rPr>
      </w:pPr>
      <w:r>
        <w:rPr>
          <w:rFonts w:eastAsiaTheme="minorEastAsia"/>
        </w:rPr>
        <w:t>Multi-beam cell: The cell consists of multiple logical beams with beam sweeping within a cell as in Figure 3. Logical beams may be SSB beams inherited from 5G or newly defined synchronization signals in 6G. To achieve refined management, supporting more than 8 logical beams in FR1 can be considered.</w:t>
      </w:r>
    </w:p>
    <w:p w14:paraId="2DE2839A" w14:textId="77777777" w:rsidR="009D5351" w:rsidRDefault="00000000">
      <w:pPr>
        <w:spacing w:before="156" w:after="156"/>
        <w:jc w:val="center"/>
        <w:rPr>
          <w:rFonts w:eastAsiaTheme="minorEastAsia"/>
        </w:rPr>
      </w:pPr>
      <w:r>
        <w:rPr>
          <w:rFonts w:eastAsiaTheme="minorEastAsia" w:hint="eastAsia"/>
        </w:rPr>
        <w:object w:dxaOrig="5411" w:dyaOrig="4192" w14:anchorId="48B503F5">
          <v:shape id="_x0000_i1026" type="#_x0000_t75" style="width:270.55pt;height:209.6pt" o:ole="">
            <v:imagedata r:id="rId10" o:title=""/>
            <o:lock v:ext="edit" aspectratio="f"/>
          </v:shape>
          <o:OLEObject Type="Embed" ProgID="Visio.Drawing.15" ShapeID="_x0000_i1026" DrawAspect="Content" ObjectID="_1820761941" r:id="rId11"/>
        </w:object>
      </w:r>
    </w:p>
    <w:p w14:paraId="65DF720D" w14:textId="77777777" w:rsidR="009D5351" w:rsidRDefault="00000000">
      <w:pPr>
        <w:spacing w:before="156" w:after="156"/>
        <w:jc w:val="center"/>
        <w:rPr>
          <w:rFonts w:eastAsiaTheme="minorEastAsia"/>
        </w:rPr>
      </w:pPr>
      <w:r>
        <w:rPr>
          <w:rFonts w:eastAsiaTheme="minorEastAsia" w:hint="eastAsia"/>
        </w:rPr>
        <w:t>Figure 3: M</w:t>
      </w:r>
      <w:r>
        <w:rPr>
          <w:rFonts w:eastAsiaTheme="minorEastAsia"/>
        </w:rPr>
        <w:t>ulti-beam</w:t>
      </w:r>
      <w:r>
        <w:t xml:space="preserve"> cell</w:t>
      </w:r>
    </w:p>
    <w:p w14:paraId="48274506" w14:textId="77777777" w:rsidR="009D5351" w:rsidRDefault="00000000">
      <w:pPr>
        <w:spacing w:before="156" w:after="156"/>
        <w:rPr>
          <w:rFonts w:eastAsia="宋体"/>
        </w:rPr>
      </w:pPr>
      <w:r>
        <w:rPr>
          <w:rFonts w:eastAsia="宋体"/>
        </w:rPr>
        <w:t>I</w:t>
      </w:r>
      <w:r>
        <w:rPr>
          <w:rFonts w:eastAsia="宋体" w:hint="eastAsia"/>
        </w:rPr>
        <w:t xml:space="preserve">n multi-beam cell, it is worth noted that the shape of the cell may have irregular shape (i.e. </w:t>
      </w:r>
      <w:r>
        <w:rPr>
          <w:rFonts w:eastAsia="宋体"/>
        </w:rPr>
        <w:t>non-circular</w:t>
      </w:r>
      <w:r>
        <w:rPr>
          <w:rFonts w:eastAsia="宋体" w:hint="eastAsia"/>
        </w:rPr>
        <w:t xml:space="preserve">) due to the inclusion of </w:t>
      </w:r>
      <w:r>
        <w:rPr>
          <w:rFonts w:eastAsia="宋体"/>
        </w:rPr>
        <w:t xml:space="preserve">multiple circular beams within </w:t>
      </w:r>
      <w:r>
        <w:rPr>
          <w:rFonts w:eastAsia="宋体" w:hint="eastAsia"/>
        </w:rPr>
        <w:t>it</w:t>
      </w:r>
      <w:r>
        <w:rPr>
          <w:rFonts w:eastAsia="宋体"/>
        </w:rPr>
        <w:t>.</w:t>
      </w:r>
      <w:r>
        <w:rPr>
          <w:rFonts w:eastAsia="宋体" w:hint="eastAsia"/>
        </w:rPr>
        <w:t xml:space="preserve"> </w:t>
      </w:r>
      <w:r>
        <w:rPr>
          <w:rFonts w:eastAsia="宋体"/>
        </w:rPr>
        <w:t xml:space="preserve">As illustrated in the </w:t>
      </w:r>
      <w:r>
        <w:rPr>
          <w:rFonts w:eastAsia="宋体" w:hint="eastAsia"/>
        </w:rPr>
        <w:t>F</w:t>
      </w:r>
      <w:r>
        <w:rPr>
          <w:rFonts w:eastAsia="宋体"/>
        </w:rPr>
        <w:t>igure</w:t>
      </w:r>
      <w:r>
        <w:rPr>
          <w:rFonts w:eastAsia="宋体" w:hint="eastAsia"/>
        </w:rPr>
        <w:t xml:space="preserve"> 4</w:t>
      </w:r>
      <w:r>
        <w:rPr>
          <w:rFonts w:eastAsia="宋体"/>
        </w:rPr>
        <w:t xml:space="preserve"> below, taking</w:t>
      </w:r>
      <w:r>
        <w:rPr>
          <w:rFonts w:eastAsia="宋体" w:hint="eastAsia"/>
        </w:rPr>
        <w:t xml:space="preserve"> multiple beams </w:t>
      </w:r>
      <w:r>
        <w:rPr>
          <w:rFonts w:eastAsia="宋体"/>
        </w:rPr>
        <w:t xml:space="preserve">as an example, the cell is difficult to deploy as a perfect circle and is more likely to be shaped as an approximate polygon. Furthermore, in practical </w:t>
      </w:r>
      <w:r>
        <w:rPr>
          <w:rFonts w:eastAsia="宋体" w:hint="eastAsia"/>
        </w:rPr>
        <w:t xml:space="preserve">NTN </w:t>
      </w:r>
      <w:r>
        <w:rPr>
          <w:rFonts w:eastAsia="宋体"/>
        </w:rPr>
        <w:t xml:space="preserve">deployment, the </w:t>
      </w:r>
      <w:r>
        <w:rPr>
          <w:rFonts w:eastAsia="宋体" w:hint="eastAsia"/>
        </w:rPr>
        <w:t xml:space="preserve">NTN </w:t>
      </w:r>
      <w:r>
        <w:rPr>
          <w:rFonts w:eastAsia="宋体"/>
        </w:rPr>
        <w:t xml:space="preserve">cell coverage area </w:t>
      </w:r>
      <w:r>
        <w:rPr>
          <w:rFonts w:eastAsia="宋体" w:hint="eastAsia"/>
        </w:rPr>
        <w:t>should</w:t>
      </w:r>
      <w:r>
        <w:rPr>
          <w:rFonts w:eastAsia="宋体"/>
        </w:rPr>
        <w:t xml:space="preserve"> take into account for </w:t>
      </w:r>
      <w:r>
        <w:rPr>
          <w:rFonts w:eastAsia="宋体" w:hint="eastAsia"/>
        </w:rPr>
        <w:t>national</w:t>
      </w:r>
      <w:r>
        <w:rPr>
          <w:rFonts w:eastAsia="宋体"/>
        </w:rPr>
        <w:t xml:space="preserve"> boundaries</w:t>
      </w:r>
      <w:r>
        <w:rPr>
          <w:rFonts w:eastAsia="宋体" w:hint="eastAsia"/>
        </w:rPr>
        <w:t xml:space="preserve"> constraints</w:t>
      </w:r>
      <w:r>
        <w:rPr>
          <w:rFonts w:eastAsia="宋体"/>
        </w:rPr>
        <w:t xml:space="preserve">. Therefore, </w:t>
      </w:r>
      <w:r>
        <w:rPr>
          <w:rFonts w:hint="eastAsia"/>
        </w:rPr>
        <w:t xml:space="preserve">6G NTN should </w:t>
      </w:r>
      <w:r>
        <w:rPr>
          <w:rFonts w:eastAsia="宋体" w:hint="eastAsia"/>
        </w:rPr>
        <w:t>study on</w:t>
      </w:r>
      <w:r>
        <w:rPr>
          <w:rFonts w:eastAsia="宋体"/>
        </w:rPr>
        <w:t xml:space="preserve"> </w:t>
      </w:r>
      <w:r>
        <w:rPr>
          <w:rFonts w:eastAsia="宋体" w:hint="eastAsia"/>
        </w:rPr>
        <w:t xml:space="preserve">the impact with </w:t>
      </w:r>
      <w:r>
        <w:rPr>
          <w:rFonts w:eastAsia="宋体"/>
        </w:rPr>
        <w:t xml:space="preserve">the </w:t>
      </w:r>
      <w:r>
        <w:rPr>
          <w:rFonts w:eastAsia="宋体" w:hint="eastAsia"/>
        </w:rPr>
        <w:t xml:space="preserve">irregular </w:t>
      </w:r>
      <w:r>
        <w:rPr>
          <w:rFonts w:eastAsia="宋体"/>
        </w:rPr>
        <w:t>shape of NTN cells.</w:t>
      </w:r>
    </w:p>
    <w:p w14:paraId="258FCB07" w14:textId="77777777" w:rsidR="009D5351" w:rsidRDefault="009D5351">
      <w:pPr>
        <w:spacing w:before="156" w:after="156"/>
        <w:jc w:val="left"/>
        <w:rPr>
          <w:rFonts w:eastAsia="宋体"/>
          <w:highlight w:val="yellow"/>
        </w:rPr>
      </w:pPr>
    </w:p>
    <w:p w14:paraId="186C88D6" w14:textId="77777777" w:rsidR="009D5351" w:rsidRDefault="00000000">
      <w:pPr>
        <w:spacing w:before="156" w:after="156"/>
        <w:jc w:val="left"/>
        <w:rPr>
          <w:rFonts w:eastAsia="宋体"/>
          <w:highlight w:val="yellow"/>
        </w:rPr>
      </w:pPr>
      <w:r>
        <w:object w:dxaOrig="8298" w:dyaOrig="2181" w14:anchorId="6365B208">
          <v:shape id="_x0000_i1027" type="#_x0000_t75" style="width:414.9pt;height:109.05pt" o:ole="">
            <v:imagedata r:id="rId12" o:title=""/>
            <o:lock v:ext="edit" aspectratio="f"/>
          </v:shape>
          <o:OLEObject Type="Embed" ProgID="Visio.Drawing.11" ShapeID="_x0000_i1027" DrawAspect="Content" ObjectID="_1820761942" r:id="rId13"/>
        </w:object>
      </w:r>
    </w:p>
    <w:p w14:paraId="16CA438D" w14:textId="77777777" w:rsidR="009D5351" w:rsidRDefault="00000000">
      <w:pPr>
        <w:spacing w:before="156" w:after="156"/>
        <w:jc w:val="center"/>
        <w:rPr>
          <w:rFonts w:eastAsia="宋体"/>
        </w:rPr>
      </w:pPr>
      <w:r>
        <w:rPr>
          <w:rFonts w:eastAsia="宋体" w:hint="eastAsia"/>
        </w:rPr>
        <w:t>Figure 4: I</w:t>
      </w:r>
      <w:r>
        <w:rPr>
          <w:rFonts w:eastAsia="宋体"/>
        </w:rPr>
        <w:t xml:space="preserve">rregularly </w:t>
      </w:r>
      <w:r>
        <w:rPr>
          <w:rFonts w:eastAsia="宋体" w:hint="eastAsia"/>
        </w:rPr>
        <w:t>cell deployment with multiple beams</w:t>
      </w:r>
    </w:p>
    <w:p w14:paraId="688E2879" w14:textId="77777777" w:rsidR="009D5351" w:rsidRDefault="00000000">
      <w:pPr>
        <w:pStyle w:val="1st-ob-YJ"/>
        <w:spacing w:before="156" w:after="156"/>
        <w:rPr>
          <w:rFonts w:eastAsia="宋体"/>
          <w:i w:val="0"/>
          <w:iCs/>
        </w:rPr>
      </w:pPr>
      <w:bookmarkStart w:id="17" w:name="_Toc210080768"/>
      <w:bookmarkStart w:id="18" w:name="_Toc210087663"/>
      <w:bookmarkStart w:id="19" w:name="_Toc210087765"/>
      <w:bookmarkStart w:id="20" w:name="_Toc210122153"/>
      <w:bookmarkStart w:id="21" w:name="_Toc210123420"/>
      <w:bookmarkStart w:id="22" w:name="_Toc210123361"/>
      <w:bookmarkStart w:id="23" w:name="_Toc210122341"/>
      <w:bookmarkStart w:id="24" w:name="_Toc210122406"/>
      <w:bookmarkStart w:id="25" w:name="_Toc210123220"/>
      <w:r>
        <w:rPr>
          <w:rFonts w:eastAsia="宋体"/>
          <w:i w:val="0"/>
          <w:iCs/>
        </w:rPr>
        <w:t xml:space="preserve">In </w:t>
      </w:r>
      <w:r>
        <w:rPr>
          <w:rFonts w:eastAsia="宋体" w:hint="eastAsia"/>
          <w:i w:val="0"/>
          <w:iCs/>
        </w:rPr>
        <w:t>the</w:t>
      </w:r>
      <w:r>
        <w:rPr>
          <w:rFonts w:eastAsia="宋体"/>
          <w:i w:val="0"/>
          <w:iCs/>
        </w:rPr>
        <w:t xml:space="preserve"> scenario</w:t>
      </w:r>
      <w:r>
        <w:rPr>
          <w:rFonts w:eastAsia="宋体" w:hint="eastAsia"/>
          <w:i w:val="0"/>
          <w:iCs/>
        </w:rPr>
        <w:t xml:space="preserve"> of multi-beam cell</w:t>
      </w:r>
      <w:r>
        <w:rPr>
          <w:rFonts w:eastAsia="宋体"/>
          <w:i w:val="0"/>
          <w:iCs/>
        </w:rPr>
        <w:t xml:space="preserve">, </w:t>
      </w:r>
      <w:r>
        <w:rPr>
          <w:rFonts w:eastAsia="宋体" w:hint="eastAsia"/>
          <w:i w:val="0"/>
          <w:iCs/>
        </w:rPr>
        <w:t xml:space="preserve">the cell may have irregular shape (i.e. </w:t>
      </w:r>
      <w:r>
        <w:rPr>
          <w:rFonts w:eastAsia="宋体"/>
          <w:i w:val="0"/>
          <w:iCs/>
        </w:rPr>
        <w:t>non-circular</w:t>
      </w:r>
      <w:r>
        <w:rPr>
          <w:rFonts w:eastAsia="宋体" w:hint="eastAsia"/>
          <w:i w:val="0"/>
          <w:iCs/>
        </w:rPr>
        <w:t xml:space="preserve">) due to the inclusion of </w:t>
      </w:r>
      <w:r>
        <w:rPr>
          <w:rFonts w:eastAsia="宋体"/>
          <w:i w:val="0"/>
          <w:iCs/>
        </w:rPr>
        <w:t xml:space="preserve">multiple circular beams within </w:t>
      </w:r>
      <w:r>
        <w:rPr>
          <w:rFonts w:eastAsia="宋体" w:hint="eastAsia"/>
          <w:i w:val="0"/>
          <w:iCs/>
        </w:rPr>
        <w:t>it</w:t>
      </w:r>
      <w:r>
        <w:rPr>
          <w:rFonts w:eastAsia="宋体"/>
          <w:i w:val="0"/>
          <w:iCs/>
        </w:rPr>
        <w:t>.</w:t>
      </w:r>
      <w:bookmarkEnd w:id="17"/>
      <w:bookmarkEnd w:id="18"/>
      <w:bookmarkEnd w:id="19"/>
      <w:bookmarkEnd w:id="20"/>
      <w:bookmarkEnd w:id="21"/>
      <w:bookmarkEnd w:id="22"/>
      <w:bookmarkEnd w:id="23"/>
      <w:bookmarkEnd w:id="24"/>
      <w:bookmarkEnd w:id="25"/>
    </w:p>
    <w:p w14:paraId="30B3A943" w14:textId="77777777" w:rsidR="009D5351" w:rsidRDefault="00000000">
      <w:pPr>
        <w:pStyle w:val="1st-Proposal-YJ"/>
        <w:spacing w:before="156" w:after="156"/>
        <w:rPr>
          <w:i w:val="0"/>
        </w:rPr>
      </w:pPr>
      <w:bookmarkStart w:id="26" w:name="_Toc210087766"/>
      <w:bookmarkStart w:id="27" w:name="_Toc210123421"/>
      <w:bookmarkStart w:id="28" w:name="_Toc210122154"/>
      <w:bookmarkStart w:id="29" w:name="_Toc210087664"/>
      <w:bookmarkStart w:id="30" w:name="_Toc210123221"/>
      <w:bookmarkStart w:id="31" w:name="_Toc210122342"/>
      <w:bookmarkStart w:id="32" w:name="_Toc210122407"/>
      <w:bookmarkStart w:id="33" w:name="_Toc210123362"/>
      <w:bookmarkStart w:id="34" w:name="_Toc210080775"/>
      <w:r>
        <w:rPr>
          <w:rFonts w:eastAsiaTheme="minorEastAsia" w:hint="eastAsia"/>
          <w:i w:val="0"/>
        </w:rPr>
        <w:t>RAN2 to study</w:t>
      </w:r>
      <w:r>
        <w:rPr>
          <w:i w:val="0"/>
        </w:rPr>
        <w:t xml:space="preserve"> the</w:t>
      </w:r>
      <w:r>
        <w:rPr>
          <w:rFonts w:eastAsiaTheme="minorEastAsia" w:hint="eastAsia"/>
          <w:i w:val="0"/>
        </w:rPr>
        <w:t xml:space="preserve"> </w:t>
      </w:r>
      <w:r>
        <w:rPr>
          <w:i w:val="0"/>
        </w:rPr>
        <w:t>impact</w:t>
      </w:r>
      <w:r>
        <w:rPr>
          <w:rFonts w:eastAsiaTheme="minorEastAsia" w:hint="eastAsia"/>
          <w:i w:val="0"/>
        </w:rPr>
        <w:t>s</w:t>
      </w:r>
      <w:r>
        <w:rPr>
          <w:i w:val="0"/>
        </w:rPr>
        <w:t xml:space="preserve"> </w:t>
      </w:r>
      <w:r>
        <w:rPr>
          <w:rFonts w:eastAsiaTheme="minorEastAsia" w:hint="eastAsia"/>
          <w:i w:val="0"/>
        </w:rPr>
        <w:t>on</w:t>
      </w:r>
      <w:r>
        <w:rPr>
          <w:i w:val="0"/>
        </w:rPr>
        <w:t xml:space="preserve"> the irregular shape of NTN cells</w:t>
      </w:r>
      <w:r>
        <w:rPr>
          <w:rFonts w:eastAsiaTheme="minorEastAsia" w:hint="eastAsia"/>
          <w:i w:val="0"/>
        </w:rPr>
        <w:t>, for example, mobility</w:t>
      </w:r>
      <w:r>
        <w:rPr>
          <w:i w:val="0"/>
        </w:rPr>
        <w:t>.</w:t>
      </w:r>
      <w:bookmarkEnd w:id="26"/>
      <w:bookmarkEnd w:id="27"/>
      <w:bookmarkEnd w:id="28"/>
      <w:bookmarkEnd w:id="29"/>
      <w:bookmarkEnd w:id="30"/>
      <w:bookmarkEnd w:id="31"/>
      <w:bookmarkEnd w:id="32"/>
      <w:bookmarkEnd w:id="33"/>
      <w:r>
        <w:rPr>
          <w:rFonts w:eastAsia="宋体" w:hint="eastAsia"/>
          <w:i w:val="0"/>
        </w:rPr>
        <w:t xml:space="preserve"> </w:t>
      </w:r>
      <w:bookmarkEnd w:id="34"/>
    </w:p>
    <w:p w14:paraId="77713A1D" w14:textId="77777777" w:rsidR="009D5351" w:rsidRDefault="009D5351">
      <w:pPr>
        <w:spacing w:before="156" w:after="156"/>
        <w:rPr>
          <w:rFonts w:eastAsia="宋体"/>
          <w:b/>
          <w:bCs/>
        </w:rPr>
      </w:pPr>
    </w:p>
    <w:p w14:paraId="4DCF7560" w14:textId="77777777" w:rsidR="009D5351" w:rsidRDefault="00000000">
      <w:pPr>
        <w:pStyle w:val="ad"/>
        <w:numPr>
          <w:ilvl w:val="0"/>
          <w:numId w:val="7"/>
        </w:numPr>
        <w:spacing w:before="120" w:after="120"/>
        <w:ind w:firstLineChars="0"/>
        <w:rPr>
          <w:rFonts w:eastAsia="宋体"/>
          <w:b/>
          <w:bCs/>
        </w:rPr>
      </w:pPr>
      <w:r>
        <w:rPr>
          <w:rFonts w:eastAsia="宋体" w:hint="eastAsia"/>
          <w:b/>
          <w:bCs/>
        </w:rPr>
        <w:t>Cell type</w:t>
      </w:r>
    </w:p>
    <w:p w14:paraId="2AD6D40B" w14:textId="77777777" w:rsidR="009D5351" w:rsidRDefault="00000000">
      <w:pPr>
        <w:spacing w:before="156" w:after="156"/>
        <w:rPr>
          <w:rFonts w:eastAsia="宋体"/>
        </w:rPr>
      </w:pPr>
      <w:r>
        <w:rPr>
          <w:rFonts w:eastAsia="宋体"/>
        </w:rPr>
        <w:t>NTN can be deployed to provide coverage with earth-moving cell, quasi-earth-fixed cell and earth-fixed cell which are supported respectively by the following three types of service link</w:t>
      </w:r>
      <w:r>
        <w:rPr>
          <w:rFonts w:eastAsia="宋体" w:hint="eastAsia"/>
        </w:rPr>
        <w:t xml:space="preserve"> [5]</w:t>
      </w:r>
      <w:r>
        <w:rPr>
          <w:rFonts w:eastAsia="宋体"/>
        </w:rPr>
        <w:t>:</w:t>
      </w:r>
    </w:p>
    <w:tbl>
      <w:tblPr>
        <w:tblStyle w:val="aa"/>
        <w:tblW w:w="0" w:type="auto"/>
        <w:tblLook w:val="04A0" w:firstRow="1" w:lastRow="0" w:firstColumn="1" w:lastColumn="0" w:noHBand="0" w:noVBand="1"/>
      </w:tblPr>
      <w:tblGrid>
        <w:gridCol w:w="9346"/>
      </w:tblGrid>
      <w:tr w:rsidR="009D5351" w14:paraId="71948635" w14:textId="77777777">
        <w:tc>
          <w:tcPr>
            <w:tcW w:w="9572" w:type="dxa"/>
          </w:tcPr>
          <w:p w14:paraId="0E91809E" w14:textId="77777777" w:rsidR="009D5351" w:rsidRDefault="00000000">
            <w:pPr>
              <w:pStyle w:val="ad"/>
              <w:numPr>
                <w:ilvl w:val="0"/>
                <w:numId w:val="9"/>
              </w:numPr>
              <w:spacing w:before="120" w:after="120"/>
              <w:ind w:leftChars="100" w:left="640" w:firstLineChars="0"/>
              <w:rPr>
                <w:rFonts w:eastAsia="宋体"/>
              </w:rPr>
            </w:pPr>
            <w:r>
              <w:rPr>
                <w:rFonts w:eastAsia="宋体"/>
              </w:rPr>
              <w:t>Earth-fixed: provisioned by beam(s) continuously covering the same geographical areas all the time (e.g., the case of GSO satellites);</w:t>
            </w:r>
          </w:p>
          <w:p w14:paraId="7EFFDFF9" w14:textId="77777777" w:rsidR="009D5351" w:rsidRDefault="00000000">
            <w:pPr>
              <w:pStyle w:val="ad"/>
              <w:numPr>
                <w:ilvl w:val="0"/>
                <w:numId w:val="9"/>
              </w:numPr>
              <w:spacing w:before="120" w:after="120"/>
              <w:ind w:leftChars="100" w:left="640" w:firstLineChars="0"/>
              <w:rPr>
                <w:rFonts w:eastAsia="宋体"/>
              </w:rPr>
            </w:pPr>
            <w:r>
              <w:rPr>
                <w:rFonts w:eastAsia="宋体"/>
              </w:rPr>
              <w:lastRenderedPageBreak/>
              <w:t>Quasi-Earth-fixed: provisioned by beam(s) covering one geographic area for a limited period and a different geographic area during another period (e.g., the case of NGSO satellites generating steerable beams);</w:t>
            </w:r>
          </w:p>
          <w:p w14:paraId="39404499" w14:textId="77777777" w:rsidR="009D5351" w:rsidRDefault="00000000">
            <w:pPr>
              <w:pStyle w:val="ad"/>
              <w:numPr>
                <w:ilvl w:val="0"/>
                <w:numId w:val="9"/>
              </w:numPr>
              <w:spacing w:before="120" w:after="120"/>
              <w:ind w:leftChars="100" w:left="640" w:firstLineChars="0"/>
              <w:rPr>
                <w:rFonts w:eastAsia="宋体"/>
              </w:rPr>
            </w:pPr>
            <w:r>
              <w:rPr>
                <w:rFonts w:eastAsia="宋体"/>
              </w:rPr>
              <w:t>Earth-moving: provisioned by beam(s) whose coverage area slides over the Earth surface (e.g., the case of NGSO satellites generating fixed or non-steerable beams).</w:t>
            </w:r>
          </w:p>
        </w:tc>
      </w:tr>
    </w:tbl>
    <w:p w14:paraId="69ED9D48" w14:textId="77777777" w:rsidR="009D5351" w:rsidRDefault="00000000">
      <w:pPr>
        <w:spacing w:before="156" w:after="156"/>
        <w:rPr>
          <w:rFonts w:eastAsia="宋体"/>
        </w:rPr>
      </w:pPr>
      <w:bookmarkStart w:id="35" w:name="_Hlk210122873"/>
      <w:r>
        <w:rPr>
          <w:rFonts w:eastAsia="宋体" w:hint="eastAsia"/>
        </w:rPr>
        <w:lastRenderedPageBreak/>
        <w:t>T</w:t>
      </w:r>
      <w:r>
        <w:rPr>
          <w:rFonts w:eastAsia="宋体"/>
        </w:rPr>
        <w:t>he Quasi-Earth-Fixed deployment can be categorized into two types</w:t>
      </w:r>
      <w:r>
        <w:rPr>
          <w:rFonts w:eastAsia="宋体" w:hint="eastAsia"/>
        </w:rPr>
        <w:t xml:space="preserve"> in the</w:t>
      </w:r>
      <w:r>
        <w:rPr>
          <w:rFonts w:eastAsia="宋体"/>
        </w:rPr>
        <w:t xml:space="preserve"> scenario</w:t>
      </w:r>
      <w:r>
        <w:rPr>
          <w:rFonts w:eastAsia="宋体" w:hint="eastAsia"/>
        </w:rPr>
        <w:t xml:space="preserve"> of multi-beam cell</w:t>
      </w:r>
      <w:r>
        <w:rPr>
          <w:rFonts w:eastAsia="宋体"/>
        </w:rPr>
        <w:t xml:space="preserve">, </w:t>
      </w:r>
      <w:r>
        <w:rPr>
          <w:rFonts w:eastAsia="宋体" w:hint="eastAsia"/>
        </w:rPr>
        <w:t>t</w:t>
      </w:r>
      <w:r>
        <w:rPr>
          <w:rFonts w:eastAsia="宋体"/>
        </w:rPr>
        <w:t xml:space="preserve">he current serving cell is denoted by a yellow circle, with </w:t>
      </w:r>
      <w:r>
        <w:rPr>
          <w:rFonts w:eastAsia="宋体" w:hint="eastAsia"/>
        </w:rPr>
        <w:t xml:space="preserve">its </w:t>
      </w:r>
      <w:r>
        <w:rPr>
          <w:rFonts w:eastAsia="宋体"/>
        </w:rPr>
        <w:t xml:space="preserve">beams denoted </w:t>
      </w:r>
      <w:r>
        <w:rPr>
          <w:rFonts w:eastAsia="宋体" w:hint="eastAsia"/>
        </w:rPr>
        <w:t>by</w:t>
      </w:r>
      <w:r>
        <w:rPr>
          <w:rFonts w:eastAsia="宋体"/>
        </w:rPr>
        <w:t xml:space="preserve"> blue circles</w:t>
      </w:r>
      <w:r>
        <w:rPr>
          <w:rFonts w:eastAsia="宋体" w:hint="eastAsia"/>
        </w:rPr>
        <w:t>,</w:t>
      </w:r>
      <w:r>
        <w:rPr>
          <w:rFonts w:eastAsia="宋体"/>
        </w:rPr>
        <w:t xml:space="preserve"> as shown in Figure </w:t>
      </w:r>
      <w:r>
        <w:rPr>
          <w:rFonts w:eastAsia="宋体" w:hint="eastAsia"/>
        </w:rPr>
        <w:t>5</w:t>
      </w:r>
      <w:r>
        <w:rPr>
          <w:rFonts w:eastAsia="宋体"/>
        </w:rPr>
        <w:t>:</w:t>
      </w:r>
    </w:p>
    <w:p w14:paraId="5BB7C113" w14:textId="77777777" w:rsidR="009D5351" w:rsidRDefault="00000000">
      <w:pPr>
        <w:pStyle w:val="ad"/>
        <w:numPr>
          <w:ilvl w:val="0"/>
          <w:numId w:val="8"/>
        </w:numPr>
        <w:spacing w:before="120" w:after="120"/>
        <w:ind w:firstLineChars="0"/>
        <w:rPr>
          <w:rFonts w:eastAsiaTheme="minorEastAsia"/>
        </w:rPr>
      </w:pPr>
      <w:r>
        <w:rPr>
          <w:rFonts w:eastAsiaTheme="minorEastAsia"/>
        </w:rPr>
        <w:t>Case 1: The areas of cell coverage in two consecutive periods are completely different.</w:t>
      </w:r>
    </w:p>
    <w:p w14:paraId="3376E1A6" w14:textId="77777777" w:rsidR="009D5351" w:rsidRDefault="00000000">
      <w:pPr>
        <w:pStyle w:val="ad"/>
        <w:numPr>
          <w:ilvl w:val="0"/>
          <w:numId w:val="8"/>
        </w:numPr>
        <w:spacing w:before="120" w:after="120"/>
        <w:ind w:firstLineChars="0"/>
        <w:rPr>
          <w:rFonts w:eastAsiaTheme="minorEastAsia"/>
        </w:rPr>
      </w:pPr>
      <w:r>
        <w:rPr>
          <w:rFonts w:eastAsiaTheme="minorEastAsia"/>
        </w:rPr>
        <w:t>Case 2: The areas of cell coverage in two consecutive periods partly overlap.</w:t>
      </w:r>
      <w:r>
        <w:rPr>
          <w:rFonts w:eastAsiaTheme="minorEastAsia" w:hint="eastAsia"/>
        </w:rPr>
        <w:t xml:space="preserve"> </w:t>
      </w:r>
    </w:p>
    <w:bookmarkEnd w:id="35"/>
    <w:p w14:paraId="72BB7EC9" w14:textId="77777777" w:rsidR="009D5351" w:rsidRDefault="00000000">
      <w:pPr>
        <w:spacing w:before="156" w:after="156"/>
        <w:jc w:val="center"/>
        <w:rPr>
          <w:rFonts w:eastAsia="宋体"/>
        </w:rPr>
      </w:pPr>
      <w:r>
        <w:rPr>
          <w:rFonts w:eastAsia="宋体"/>
          <w:noProof/>
        </w:rPr>
        <w:drawing>
          <wp:inline distT="0" distB="0" distL="0" distR="0" wp14:anchorId="4F6BC98D" wp14:editId="75200E98">
            <wp:extent cx="3235325" cy="2437130"/>
            <wp:effectExtent l="0" t="0" r="3175" b="2540"/>
            <wp:docPr id="1556831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83139"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235325" cy="2437130"/>
                    </a:xfrm>
                    <a:prstGeom prst="rect">
                      <a:avLst/>
                    </a:prstGeom>
                    <a:noFill/>
                    <a:ln>
                      <a:noFill/>
                    </a:ln>
                  </pic:spPr>
                </pic:pic>
              </a:graphicData>
            </a:graphic>
          </wp:inline>
        </w:drawing>
      </w:r>
      <w:r>
        <w:rPr>
          <w:rFonts w:eastAsia="宋体"/>
          <w:noProof/>
        </w:rPr>
        <w:drawing>
          <wp:inline distT="0" distB="0" distL="0" distR="0" wp14:anchorId="69DCDE65" wp14:editId="594CA839">
            <wp:extent cx="2312670" cy="2433320"/>
            <wp:effectExtent l="0" t="0" r="8255" b="6350"/>
            <wp:docPr id="1284920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92054"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2670" cy="2433320"/>
                    </a:xfrm>
                    <a:prstGeom prst="rect">
                      <a:avLst/>
                    </a:prstGeom>
                    <a:noFill/>
                    <a:ln>
                      <a:noFill/>
                    </a:ln>
                  </pic:spPr>
                </pic:pic>
              </a:graphicData>
            </a:graphic>
          </wp:inline>
        </w:drawing>
      </w:r>
    </w:p>
    <w:p w14:paraId="1DFBCAED" w14:textId="77777777" w:rsidR="009D5351" w:rsidRDefault="00000000">
      <w:pPr>
        <w:spacing w:before="156" w:after="156"/>
        <w:jc w:val="center"/>
        <w:rPr>
          <w:rFonts w:eastAsia="宋体"/>
        </w:rPr>
      </w:pPr>
      <w:r>
        <w:rPr>
          <w:rFonts w:eastAsia="宋体" w:hint="eastAsia"/>
        </w:rPr>
        <w:t xml:space="preserve">Figure 5: </w:t>
      </w:r>
      <w:r>
        <w:rPr>
          <w:rFonts w:eastAsia="宋体"/>
        </w:rPr>
        <w:t xml:space="preserve">Quasi-Earth-Fixed </w:t>
      </w:r>
      <w:r>
        <w:rPr>
          <w:rFonts w:eastAsia="宋体" w:hint="eastAsia"/>
        </w:rPr>
        <w:t>case 1 and case 2</w:t>
      </w:r>
    </w:p>
    <w:p w14:paraId="5FA49AC5" w14:textId="77777777" w:rsidR="009D5351" w:rsidRDefault="00000000">
      <w:pPr>
        <w:spacing w:before="156" w:after="156"/>
        <w:rPr>
          <w:rFonts w:eastAsia="宋体"/>
        </w:rPr>
      </w:pPr>
      <w:r>
        <w:rPr>
          <w:rFonts w:eastAsia="宋体" w:hint="eastAsia"/>
        </w:rPr>
        <w:t>For</w:t>
      </w:r>
      <w:r>
        <w:rPr>
          <w:rFonts w:eastAsia="宋体"/>
        </w:rPr>
        <w:t xml:space="preserve"> Quasi-Earth-Fixed </w:t>
      </w:r>
      <w:r>
        <w:rPr>
          <w:rFonts w:eastAsia="宋体" w:hint="eastAsia"/>
        </w:rPr>
        <w:t>case 1, s</w:t>
      </w:r>
      <w:r>
        <w:rPr>
          <w:rFonts w:eastAsia="宋体"/>
        </w:rPr>
        <w:t xml:space="preserve">ervice for UE1 and UE2 </w:t>
      </w:r>
      <w:r>
        <w:rPr>
          <w:rFonts w:eastAsia="宋体" w:hint="eastAsia"/>
        </w:rPr>
        <w:t>starts</w:t>
      </w:r>
      <w:r>
        <w:rPr>
          <w:rFonts w:eastAsia="宋体"/>
        </w:rPr>
        <w:t xml:space="preserve"> at time</w:t>
      </w:r>
      <w:r>
        <w:rPr>
          <w:rFonts w:eastAsia="宋体" w:hint="eastAsia"/>
        </w:rPr>
        <w:t xml:space="preserve"> T</w:t>
      </w:r>
      <w:r>
        <w:rPr>
          <w:rFonts w:eastAsia="宋体" w:hint="eastAsia"/>
          <w:vertAlign w:val="subscript"/>
        </w:rPr>
        <w:t>1</w:t>
      </w:r>
      <w:r>
        <w:rPr>
          <w:rFonts w:eastAsia="宋体" w:hint="eastAsia"/>
        </w:rPr>
        <w:t xml:space="preserve"> </w:t>
      </w:r>
      <w:r>
        <w:rPr>
          <w:rFonts w:eastAsia="宋体"/>
        </w:rPr>
        <w:t xml:space="preserve">and </w:t>
      </w:r>
      <w:r>
        <w:rPr>
          <w:rFonts w:eastAsia="宋体" w:hint="eastAsia"/>
        </w:rPr>
        <w:t>stops</w:t>
      </w:r>
      <w:r>
        <w:rPr>
          <w:rFonts w:eastAsia="宋体"/>
        </w:rPr>
        <w:t xml:space="preserve"> simultaneously at time </w:t>
      </w:r>
      <w:bookmarkStart w:id="36" w:name="_Hlk209193598"/>
      <w:r>
        <w:rPr>
          <w:rFonts w:eastAsia="宋体"/>
        </w:rPr>
        <w:t>t-Service</w:t>
      </w:r>
      <w:bookmarkEnd w:id="36"/>
      <w:r>
        <w:rPr>
          <w:rFonts w:eastAsia="宋体"/>
        </w:rPr>
        <w:t xml:space="preserve">, after which the satellite </w:t>
      </w:r>
      <w:r>
        <w:rPr>
          <w:rFonts w:eastAsia="宋体" w:hint="eastAsia"/>
        </w:rPr>
        <w:t>start</w:t>
      </w:r>
      <w:r>
        <w:rPr>
          <w:rFonts w:eastAsia="宋体"/>
        </w:rPr>
        <w:t>s to serve the next geographic area</w:t>
      </w:r>
      <w:r>
        <w:rPr>
          <w:rFonts w:eastAsia="宋体" w:hint="eastAsia"/>
        </w:rPr>
        <w:t xml:space="preserve"> (i.e. another </w:t>
      </w:r>
      <w:r>
        <w:rPr>
          <w:rFonts w:eastAsia="宋体"/>
        </w:rPr>
        <w:t>cell</w:t>
      </w:r>
      <w:r>
        <w:rPr>
          <w:rFonts w:eastAsia="宋体" w:hint="eastAsia"/>
        </w:rPr>
        <w:t>)</w:t>
      </w:r>
      <w:r>
        <w:rPr>
          <w:rFonts w:eastAsia="宋体"/>
        </w:rPr>
        <w:t xml:space="preserve">. </w:t>
      </w:r>
      <w:r>
        <w:rPr>
          <w:rFonts w:eastAsia="宋体" w:hint="eastAsia"/>
        </w:rPr>
        <w:t>T</w:t>
      </w:r>
      <w:r>
        <w:rPr>
          <w:rFonts w:eastAsia="宋体"/>
        </w:rPr>
        <w:t xml:space="preserve">he geographical </w:t>
      </w:r>
      <w:r>
        <w:rPr>
          <w:rFonts w:eastAsia="宋体" w:hint="eastAsia"/>
        </w:rPr>
        <w:t>area</w:t>
      </w:r>
      <w:r>
        <w:rPr>
          <w:rFonts w:eastAsia="宋体"/>
        </w:rPr>
        <w:t xml:space="preserve"> of both the serving cell and its beams remains unchanged</w:t>
      </w:r>
      <w:r>
        <w:rPr>
          <w:rFonts w:eastAsia="宋体" w:hint="eastAsia"/>
        </w:rPr>
        <w:t xml:space="preserve"> during time T</w:t>
      </w:r>
      <w:r>
        <w:rPr>
          <w:rFonts w:eastAsia="宋体" w:hint="eastAsia"/>
          <w:vertAlign w:val="subscript"/>
        </w:rPr>
        <w:t xml:space="preserve">1 </w:t>
      </w:r>
      <w:r>
        <w:rPr>
          <w:rFonts w:eastAsia="宋体" w:hint="eastAsia"/>
        </w:rPr>
        <w:t xml:space="preserve">to time </w:t>
      </w:r>
      <w:r>
        <w:rPr>
          <w:rFonts w:eastAsia="宋体"/>
        </w:rPr>
        <w:t>t-Service. The continuous service duration for each UE is given by t-Service – T₁.</w:t>
      </w:r>
    </w:p>
    <w:p w14:paraId="48D26C01" w14:textId="77777777" w:rsidR="009D5351" w:rsidRDefault="00000000">
      <w:pPr>
        <w:spacing w:before="156" w:after="156"/>
        <w:rPr>
          <w:rFonts w:eastAsia="宋体"/>
        </w:rPr>
      </w:pPr>
      <w:r>
        <w:rPr>
          <w:rFonts w:eastAsia="宋体"/>
        </w:rPr>
        <w:t>For Quasi-Earth-Fixed case</w:t>
      </w:r>
      <w:r>
        <w:rPr>
          <w:rFonts w:eastAsia="宋体" w:hint="eastAsia"/>
        </w:rPr>
        <w:t xml:space="preserve"> </w:t>
      </w:r>
      <w:r>
        <w:rPr>
          <w:rFonts w:eastAsia="宋体"/>
        </w:rPr>
        <w:t xml:space="preserve">2, </w:t>
      </w:r>
      <w:r>
        <w:rPr>
          <w:rFonts w:eastAsia="宋体" w:hint="eastAsia"/>
        </w:rPr>
        <w:t>with</w:t>
      </w:r>
      <w:r>
        <w:rPr>
          <w:rFonts w:eastAsia="宋体"/>
        </w:rPr>
        <w:t xml:space="preserve"> the satellite </w:t>
      </w:r>
      <w:r>
        <w:rPr>
          <w:rFonts w:eastAsia="宋体" w:hint="eastAsia"/>
        </w:rPr>
        <w:t>moves</w:t>
      </w:r>
      <w:r>
        <w:rPr>
          <w:rFonts w:eastAsia="宋体"/>
        </w:rPr>
        <w:t xml:space="preserve">, </w:t>
      </w:r>
      <w:r>
        <w:rPr>
          <w:rFonts w:eastAsia="宋体" w:hint="eastAsia"/>
        </w:rPr>
        <w:t xml:space="preserve">the cell </w:t>
      </w:r>
      <w:r>
        <w:rPr>
          <w:rFonts w:eastAsia="宋体"/>
        </w:rPr>
        <w:t>coverage area</w:t>
      </w:r>
      <w:r>
        <w:rPr>
          <w:rFonts w:eastAsia="宋体" w:hint="eastAsia"/>
        </w:rPr>
        <w:t xml:space="preserve"> hops</w:t>
      </w:r>
      <w:r>
        <w:rPr>
          <w:rFonts w:eastAsia="宋体"/>
        </w:rPr>
        <w:t xml:space="preserve"> over the Earth surface</w:t>
      </w:r>
      <w:r>
        <w:rPr>
          <w:rFonts w:eastAsia="宋体" w:hint="eastAsia"/>
        </w:rPr>
        <w:t xml:space="preserve"> with the earth-fixed beams. </w:t>
      </w:r>
      <w:r>
        <w:rPr>
          <w:rFonts w:eastAsia="宋体"/>
        </w:rPr>
        <w:t>D</w:t>
      </w:r>
      <w:r>
        <w:rPr>
          <w:rFonts w:eastAsia="宋体" w:hint="eastAsia"/>
        </w:rPr>
        <w:t xml:space="preserve">ifferent from all beams within </w:t>
      </w:r>
      <w:r>
        <w:rPr>
          <w:rFonts w:eastAsia="宋体"/>
        </w:rPr>
        <w:t xml:space="preserve">Quasi-Earth-Fixed </w:t>
      </w:r>
      <w:r>
        <w:rPr>
          <w:rFonts w:eastAsia="宋体" w:hint="eastAsia"/>
        </w:rPr>
        <w:t xml:space="preserve">case 1, one or </w:t>
      </w:r>
      <w:r>
        <w:rPr>
          <w:rFonts w:eastAsia="宋体"/>
        </w:rPr>
        <w:t>several</w:t>
      </w:r>
      <w:r>
        <w:rPr>
          <w:rFonts w:eastAsia="宋体" w:hint="eastAsia"/>
        </w:rPr>
        <w:t xml:space="preserve"> beams </w:t>
      </w:r>
      <w:r>
        <w:rPr>
          <w:rFonts w:eastAsia="宋体"/>
        </w:rPr>
        <w:t xml:space="preserve">covering </w:t>
      </w:r>
      <w:r>
        <w:rPr>
          <w:rFonts w:eastAsia="宋体" w:hint="eastAsia"/>
        </w:rPr>
        <w:t xml:space="preserve">for </w:t>
      </w:r>
      <w:r>
        <w:rPr>
          <w:rFonts w:eastAsia="宋体"/>
        </w:rPr>
        <w:t>one geographic area</w:t>
      </w:r>
      <w:r>
        <w:rPr>
          <w:rFonts w:eastAsia="宋体" w:hint="eastAsia"/>
        </w:rPr>
        <w:t xml:space="preserve"> switch to another </w:t>
      </w:r>
      <w:r>
        <w:rPr>
          <w:rFonts w:eastAsia="宋体"/>
        </w:rPr>
        <w:t xml:space="preserve">geographic area </w:t>
      </w:r>
      <w:r>
        <w:rPr>
          <w:rFonts w:eastAsia="宋体" w:hint="eastAsia"/>
        </w:rPr>
        <w:t>after</w:t>
      </w:r>
      <w:r>
        <w:rPr>
          <w:rFonts w:eastAsia="宋体"/>
        </w:rPr>
        <w:t xml:space="preserve"> a limited period</w:t>
      </w:r>
      <w:r>
        <w:rPr>
          <w:rFonts w:eastAsia="宋体" w:hint="eastAsia"/>
        </w:rPr>
        <w:t xml:space="preserve">. The service for </w:t>
      </w:r>
      <w:r>
        <w:rPr>
          <w:rFonts w:eastAsia="宋体"/>
        </w:rPr>
        <w:t>UE</w:t>
      </w:r>
      <w:r>
        <w:rPr>
          <w:rFonts w:eastAsia="宋体" w:hint="eastAsia"/>
        </w:rPr>
        <w:t xml:space="preserve">s in corresponding beams starts </w:t>
      </w:r>
      <w:r>
        <w:rPr>
          <w:rFonts w:eastAsia="宋体"/>
        </w:rPr>
        <w:t xml:space="preserve">and </w:t>
      </w:r>
      <w:r>
        <w:rPr>
          <w:rFonts w:eastAsia="宋体" w:hint="eastAsia"/>
        </w:rPr>
        <w:t>stops</w:t>
      </w:r>
      <w:r>
        <w:rPr>
          <w:rFonts w:eastAsia="宋体"/>
        </w:rPr>
        <w:t xml:space="preserve"> simultaneously</w:t>
      </w:r>
      <w:r>
        <w:rPr>
          <w:rFonts w:eastAsia="宋体" w:hint="eastAsia"/>
        </w:rPr>
        <w:t xml:space="preserve"> while the UEs in the other beams of this cell have the different start and stop time. </w:t>
      </w:r>
      <w:r>
        <w:rPr>
          <w:rFonts w:eastAsia="宋体"/>
        </w:rPr>
        <w:t>F</w:t>
      </w:r>
      <w:r>
        <w:rPr>
          <w:rFonts w:eastAsia="宋体" w:hint="eastAsia"/>
        </w:rPr>
        <w:t xml:space="preserve">rom our perspective, case2 is beneficial for the link budget with </w:t>
      </w:r>
      <w:r>
        <w:rPr>
          <w:rFonts w:eastAsia="宋体"/>
        </w:rPr>
        <w:t>ubiquitous</w:t>
      </w:r>
      <w:r>
        <w:rPr>
          <w:rFonts w:eastAsia="宋体" w:hint="eastAsia"/>
        </w:rPr>
        <w:t xml:space="preserve"> coverage.</w:t>
      </w:r>
    </w:p>
    <w:p w14:paraId="4B86468B" w14:textId="77777777" w:rsidR="009D5351" w:rsidRDefault="00000000">
      <w:pPr>
        <w:pStyle w:val="1st-Proposal-YJ"/>
        <w:spacing w:before="156" w:after="156"/>
        <w:rPr>
          <w:rFonts w:eastAsia="宋体"/>
          <w:i w:val="0"/>
          <w:iCs/>
        </w:rPr>
      </w:pPr>
      <w:bookmarkStart w:id="37" w:name="_Toc210122155"/>
      <w:bookmarkStart w:id="38" w:name="_Toc210122408"/>
      <w:bookmarkStart w:id="39" w:name="_Toc210087665"/>
      <w:bookmarkStart w:id="40" w:name="_Toc210087767"/>
      <w:bookmarkStart w:id="41" w:name="_Toc210122343"/>
      <w:bookmarkStart w:id="42" w:name="_Toc210123363"/>
      <w:bookmarkStart w:id="43" w:name="_Toc210123422"/>
      <w:bookmarkStart w:id="44" w:name="_Toc210123222"/>
      <w:r>
        <w:rPr>
          <w:rFonts w:eastAsia="宋体" w:hint="eastAsia"/>
          <w:i w:val="0"/>
          <w:iCs/>
        </w:rPr>
        <w:t>RAN2 to study a new case 2 with</w:t>
      </w:r>
      <w:r>
        <w:rPr>
          <w:rFonts w:eastAsia="宋体"/>
          <w:i w:val="0"/>
          <w:iCs/>
        </w:rPr>
        <w:t xml:space="preserve"> cell coverage in two consecutive periods partly overlap</w:t>
      </w:r>
      <w:r>
        <w:rPr>
          <w:rFonts w:eastAsia="宋体" w:hint="eastAsia"/>
          <w:i w:val="0"/>
          <w:iCs/>
        </w:rPr>
        <w:t xml:space="preserve"> in multi-beam </w:t>
      </w:r>
      <w:r>
        <w:rPr>
          <w:rFonts w:eastAsia="宋体"/>
          <w:i w:val="0"/>
          <w:iCs/>
        </w:rPr>
        <w:t>deployment</w:t>
      </w:r>
      <w:bookmarkEnd w:id="37"/>
      <w:bookmarkEnd w:id="38"/>
      <w:bookmarkEnd w:id="39"/>
      <w:bookmarkEnd w:id="40"/>
      <w:bookmarkEnd w:id="41"/>
      <w:r>
        <w:rPr>
          <w:rFonts w:eastAsia="宋体" w:hint="eastAsia"/>
          <w:i w:val="0"/>
          <w:iCs/>
        </w:rPr>
        <w:t>.</w:t>
      </w:r>
      <w:bookmarkEnd w:id="42"/>
      <w:bookmarkEnd w:id="43"/>
      <w:bookmarkEnd w:id="44"/>
    </w:p>
    <w:p w14:paraId="794D16B6" w14:textId="77777777" w:rsidR="009D5351" w:rsidRDefault="009D5351">
      <w:pPr>
        <w:pStyle w:val="1st-ob-YJ"/>
        <w:numPr>
          <w:ilvl w:val="255"/>
          <w:numId w:val="0"/>
        </w:numPr>
        <w:spacing w:before="156" w:after="156"/>
        <w:rPr>
          <w:rFonts w:eastAsia="宋体"/>
          <w:i w:val="0"/>
          <w:iCs/>
        </w:rPr>
      </w:pPr>
    </w:p>
    <w:p w14:paraId="1D6D4A9E" w14:textId="77777777" w:rsidR="009D5351" w:rsidRDefault="00000000">
      <w:pPr>
        <w:pStyle w:val="ad"/>
        <w:numPr>
          <w:ilvl w:val="1"/>
          <w:numId w:val="1"/>
        </w:numPr>
        <w:spacing w:before="120" w:after="120"/>
        <w:ind w:firstLineChars="0"/>
        <w:outlineLvl w:val="1"/>
        <w:rPr>
          <w:rFonts w:eastAsia="宋体"/>
          <w:b/>
          <w:sz w:val="24"/>
          <w:szCs w:val="24"/>
        </w:rPr>
      </w:pPr>
      <w:r>
        <w:rPr>
          <w:rFonts w:eastAsia="宋体"/>
          <w:b/>
          <w:sz w:val="24"/>
          <w:szCs w:val="24"/>
        </w:rPr>
        <w:t>D</w:t>
      </w:r>
      <w:r>
        <w:rPr>
          <w:rFonts w:eastAsia="宋体" w:hint="eastAsia"/>
          <w:b/>
          <w:sz w:val="24"/>
          <w:szCs w:val="24"/>
        </w:rPr>
        <w:t>esign principle for NTN</w:t>
      </w:r>
    </w:p>
    <w:p w14:paraId="04D444AD" w14:textId="77777777" w:rsidR="009D5351" w:rsidRDefault="00000000">
      <w:pPr>
        <w:spacing w:before="156" w:after="156"/>
        <w:rPr>
          <w:rFonts w:eastAsia="宋体"/>
        </w:rPr>
      </w:pPr>
      <w:r>
        <w:rPr>
          <w:rFonts w:eastAsia="宋体"/>
        </w:rPr>
        <w:t>Compared to TN networks, NTN networks are characterized by limited air interface resources, restricted power consumption of base stations and terminals, and frequent handovers for terminals in regenerative mode. Therefore, it is necessary to reasonably optimize and reduce the signaling size and procedure complexity on the NTN air interface to efficiently utilize air interface resources, improve user experience, and reduce system power consumption.</w:t>
      </w:r>
    </w:p>
    <w:p w14:paraId="5E5B59F1" w14:textId="77777777" w:rsidR="009D5351" w:rsidRDefault="00000000">
      <w:pPr>
        <w:spacing w:before="156" w:after="156"/>
        <w:rPr>
          <w:rFonts w:eastAsia="宋体"/>
        </w:rPr>
      </w:pPr>
      <w:r>
        <w:rPr>
          <w:rFonts w:eastAsia="宋体"/>
        </w:rPr>
        <w:lastRenderedPageBreak/>
        <w:t xml:space="preserve">In </w:t>
      </w:r>
      <w:r>
        <w:rPr>
          <w:rFonts w:eastAsia="宋体"/>
          <w:iCs/>
        </w:rPr>
        <w:t>multi</w:t>
      </w:r>
      <w:r>
        <w:rPr>
          <w:rFonts w:eastAsia="宋体"/>
        </w:rPr>
        <w:t>-beam cell scenarios</w:t>
      </w:r>
      <w:r>
        <w:rPr>
          <w:rFonts w:eastAsia="宋体" w:hint="eastAsia"/>
        </w:rPr>
        <w:t>, d</w:t>
      </w:r>
      <w:r>
        <w:rPr>
          <w:rFonts w:eastAsia="宋体"/>
        </w:rPr>
        <w:t xml:space="preserve">ue to the wide-area coverage of NTN networks, the network conditions, geographical environment, and user distribution vary across different sub-areas within a cell. Therefore, applying uniform configurations across the entire cell results in coarse granularity, single and ambiguous configurations. This not only wastes network resources but also causes </w:t>
      </w:r>
      <w:r>
        <w:rPr>
          <w:rFonts w:eastAsia="宋体" w:hint="eastAsia"/>
        </w:rPr>
        <w:t>UEs</w:t>
      </w:r>
      <w:r>
        <w:rPr>
          <w:rFonts w:eastAsia="宋体"/>
        </w:rPr>
        <w:t xml:space="preserve"> to execute configurations unrelated to their actual location, leading to unnecessary power consumption. </w:t>
      </w:r>
      <w:r>
        <w:rPr>
          <w:rFonts w:eastAsia="宋体" w:hint="eastAsia"/>
        </w:rPr>
        <w:t>I</w:t>
      </w:r>
      <w:r>
        <w:rPr>
          <w:rFonts w:eastAsia="宋体"/>
        </w:rPr>
        <w:t>t is recommended to adopt a fine-grained signaling design in multi-beam cell scenarios.</w:t>
      </w:r>
    </w:p>
    <w:p w14:paraId="71965C1F" w14:textId="77777777" w:rsidR="009D5351" w:rsidRDefault="00000000">
      <w:pPr>
        <w:pStyle w:val="1st-Proposal-YJ"/>
        <w:spacing w:before="156" w:after="156"/>
        <w:rPr>
          <w:rFonts w:eastAsia="宋体"/>
          <w:i w:val="0"/>
          <w:iCs/>
        </w:rPr>
      </w:pPr>
      <w:bookmarkStart w:id="45" w:name="_Toc210087666"/>
      <w:bookmarkStart w:id="46" w:name="_Toc210087768"/>
      <w:bookmarkStart w:id="47" w:name="_Toc210122156"/>
      <w:bookmarkStart w:id="48" w:name="_Toc210122344"/>
      <w:bookmarkStart w:id="49" w:name="_Toc210122409"/>
      <w:bookmarkStart w:id="50" w:name="_Toc210123223"/>
      <w:bookmarkStart w:id="51" w:name="_Toc210123364"/>
      <w:bookmarkStart w:id="52" w:name="_Toc210123423"/>
      <w:r>
        <w:rPr>
          <w:rFonts w:eastAsia="宋体" w:hint="eastAsia"/>
          <w:i w:val="0"/>
          <w:iCs/>
        </w:rPr>
        <w:t>RAN2 to study</w:t>
      </w:r>
      <w:r>
        <w:rPr>
          <w:rFonts w:eastAsia="宋体"/>
          <w:i w:val="0"/>
          <w:iCs/>
        </w:rPr>
        <w:t xml:space="preserve"> a</w:t>
      </w:r>
      <w:bookmarkStart w:id="53" w:name="_Hlk210121850"/>
      <w:r>
        <w:rPr>
          <w:rFonts w:eastAsia="宋体"/>
          <w:i w:val="0"/>
          <w:iCs/>
        </w:rPr>
        <w:t xml:space="preserve"> </w:t>
      </w:r>
      <w:r>
        <w:rPr>
          <w:rFonts w:eastAsia="宋体" w:hint="eastAsia"/>
          <w:i w:val="0"/>
          <w:iCs/>
        </w:rPr>
        <w:t>fine-</w:t>
      </w:r>
      <w:r>
        <w:rPr>
          <w:rFonts w:eastAsia="宋体"/>
          <w:i w:val="0"/>
          <w:iCs/>
        </w:rPr>
        <w:t>grained</w:t>
      </w:r>
      <w:bookmarkEnd w:id="53"/>
      <w:r>
        <w:rPr>
          <w:rFonts w:eastAsia="宋体" w:hint="eastAsia"/>
          <w:i w:val="0"/>
          <w:iCs/>
        </w:rPr>
        <w:t xml:space="preserve"> </w:t>
      </w:r>
      <w:r>
        <w:rPr>
          <w:rFonts w:eastAsia="宋体"/>
          <w:i w:val="0"/>
          <w:iCs/>
        </w:rPr>
        <w:t>signaling design</w:t>
      </w:r>
      <w:r>
        <w:rPr>
          <w:rFonts w:eastAsia="宋体" w:hint="eastAsia"/>
          <w:i w:val="0"/>
          <w:iCs/>
        </w:rPr>
        <w:t xml:space="preserve"> for 6G NTN</w:t>
      </w:r>
      <w:r>
        <w:rPr>
          <w:rFonts w:eastAsia="宋体"/>
          <w:i w:val="0"/>
          <w:iCs/>
        </w:rPr>
        <w:t>.</w:t>
      </w:r>
      <w:bookmarkEnd w:id="45"/>
      <w:bookmarkEnd w:id="46"/>
      <w:bookmarkEnd w:id="47"/>
      <w:bookmarkEnd w:id="48"/>
      <w:bookmarkEnd w:id="49"/>
      <w:bookmarkEnd w:id="50"/>
      <w:bookmarkEnd w:id="51"/>
      <w:bookmarkEnd w:id="52"/>
    </w:p>
    <w:p w14:paraId="30590ED8" w14:textId="77777777" w:rsidR="009D5351" w:rsidRDefault="00000000">
      <w:pPr>
        <w:pStyle w:val="ad"/>
        <w:numPr>
          <w:ilvl w:val="1"/>
          <w:numId w:val="1"/>
        </w:numPr>
        <w:spacing w:before="120" w:after="120"/>
        <w:ind w:firstLineChars="0"/>
        <w:outlineLvl w:val="1"/>
        <w:rPr>
          <w:rFonts w:eastAsia="宋体"/>
          <w:b/>
          <w:sz w:val="24"/>
          <w:szCs w:val="24"/>
        </w:rPr>
      </w:pPr>
      <w:r>
        <w:rPr>
          <w:rFonts w:eastAsia="宋体" w:hint="eastAsia"/>
          <w:b/>
          <w:sz w:val="24"/>
          <w:szCs w:val="24"/>
        </w:rPr>
        <w:t>Multi-orbit collaboration</w:t>
      </w:r>
    </w:p>
    <w:p w14:paraId="639B386D" w14:textId="77777777" w:rsidR="009D5351" w:rsidRDefault="00000000">
      <w:pPr>
        <w:spacing w:before="156" w:after="156"/>
        <w:rPr>
          <w:rFonts w:eastAsia="宋体"/>
        </w:rPr>
      </w:pPr>
      <w:r>
        <w:rPr>
          <w:rFonts w:eastAsia="宋体"/>
        </w:rPr>
        <w:t xml:space="preserve">Multi-orbit </w:t>
      </w:r>
      <w:r>
        <w:rPr>
          <w:rFonts w:eastAsia="宋体" w:hint="eastAsia"/>
        </w:rPr>
        <w:t>collaboration</w:t>
      </w:r>
      <w:r>
        <w:rPr>
          <w:rFonts w:eastAsia="宋体"/>
        </w:rPr>
        <w:t xml:space="preserve"> </w:t>
      </w:r>
      <w:r>
        <w:rPr>
          <w:rFonts w:eastAsia="宋体" w:hint="eastAsia"/>
        </w:rPr>
        <w:t>mean</w:t>
      </w:r>
      <w:r>
        <w:rPr>
          <w:rFonts w:eastAsia="宋体"/>
        </w:rPr>
        <w:t>s that satellites in di</w:t>
      </w:r>
      <w:r>
        <w:rPr>
          <w:rFonts w:eastAsia="宋体" w:hint="eastAsia"/>
        </w:rPr>
        <w:t>fferent</w:t>
      </w:r>
      <w:r>
        <w:rPr>
          <w:rFonts w:eastAsia="宋体"/>
        </w:rPr>
        <w:t xml:space="preserve"> orbits are capable of offering services to UEs. However, a prerequisite for this is </w:t>
      </w:r>
      <w:r>
        <w:rPr>
          <w:rFonts w:eastAsia="宋体" w:hint="eastAsia"/>
        </w:rPr>
        <w:t>NGSO</w:t>
      </w:r>
      <w:r>
        <w:rPr>
          <w:rFonts w:eastAsia="宋体"/>
        </w:rPr>
        <w:t xml:space="preserve"> compliance with an ITU regulation</w:t>
      </w:r>
      <w:r>
        <w:rPr>
          <w:rFonts w:eastAsia="宋体" w:hint="eastAsia"/>
        </w:rPr>
        <w:t xml:space="preserve"> a</w:t>
      </w:r>
      <w:r>
        <w:rPr>
          <w:rFonts w:hint="eastAsia"/>
        </w:rPr>
        <w:t xml:space="preserve">s defined in </w:t>
      </w:r>
      <w:r>
        <w:rPr>
          <w:rFonts w:eastAsia="宋体" w:hint="eastAsia"/>
        </w:rPr>
        <w:t xml:space="preserve">TR38.821 [4]. </w:t>
      </w:r>
    </w:p>
    <w:tbl>
      <w:tblPr>
        <w:tblStyle w:val="aa"/>
        <w:tblW w:w="0" w:type="auto"/>
        <w:tblLook w:val="04A0" w:firstRow="1" w:lastRow="0" w:firstColumn="1" w:lastColumn="0" w:noHBand="0" w:noVBand="1"/>
      </w:tblPr>
      <w:tblGrid>
        <w:gridCol w:w="9346"/>
      </w:tblGrid>
      <w:tr w:rsidR="009D5351" w14:paraId="388B5E73" w14:textId="77777777">
        <w:tc>
          <w:tcPr>
            <w:tcW w:w="9572" w:type="dxa"/>
          </w:tcPr>
          <w:p w14:paraId="54D0A422" w14:textId="77777777" w:rsidR="009D5351" w:rsidRDefault="00000000">
            <w:pPr>
              <w:spacing w:before="156" w:after="156"/>
            </w:pPr>
            <w:r>
              <w:t>In the ITU Radio Regulations (ITU, 2016) the interference to any GEO network caused by a NGSO system is strictly constrained. One restriction to the system is that a NGSO system shall not cause unacceptable interference into any GEO network in the fixed satellite service for uplink and downlink in the same frequency (in-line interference), shown in Figure C-1</w:t>
            </w:r>
            <w:r>
              <w:rPr>
                <w:rFonts w:eastAsia="宋体" w:hint="eastAsia"/>
              </w:rPr>
              <w:t xml:space="preserve"> (i.e. Figure 6)</w:t>
            </w:r>
            <w:r>
              <w:t xml:space="preserve">. For that reason, (ITU, 2016) limits the maximum equivalent power flux densities (EPFD) of the NGSO system to values which are not sufficient to enable satellite communication. </w:t>
            </w:r>
          </w:p>
          <w:p w14:paraId="633593D3" w14:textId="77777777" w:rsidR="009D5351" w:rsidRDefault="00000000">
            <w:pPr>
              <w:spacing w:before="156" w:after="156"/>
              <w:rPr>
                <w:rFonts w:eastAsia="宋体"/>
              </w:rPr>
            </w:pPr>
            <w:r>
              <w:rPr>
                <w:rFonts w:eastAsia="宋体" w:hint="eastAsia"/>
              </w:rPr>
              <w:t>...</w:t>
            </w:r>
          </w:p>
          <w:p w14:paraId="1974FFF0" w14:textId="77777777" w:rsidR="009D5351" w:rsidRDefault="00000000">
            <w:pPr>
              <w:spacing w:before="156" w:after="156"/>
              <w:rPr>
                <w:rFonts w:eastAsia="宋体"/>
              </w:rPr>
            </w:pPr>
            <w:proofErr w:type="gramStart"/>
            <w:r>
              <w:rPr>
                <w:rFonts w:eastAsia="宋体" w:hint="eastAsia"/>
              </w:rPr>
              <w:t>So</w:t>
            </w:r>
            <w:proofErr w:type="gramEnd"/>
            <w:r>
              <w:rPr>
                <w:rFonts w:eastAsia="宋体" w:hint="eastAsia"/>
              </w:rPr>
              <w:t xml:space="preserve"> </w:t>
            </w:r>
            <w:r>
              <w:t xml:space="preserve">the downlink signal from a NGSO satellite is interfering a GEO receive station on earth. The satellite beam pointing towards the GEO ground station has either to be steered to another direction or has to be switched off completely. </w:t>
            </w:r>
          </w:p>
        </w:tc>
      </w:tr>
    </w:tbl>
    <w:p w14:paraId="55B32776" w14:textId="77777777" w:rsidR="009D5351" w:rsidRDefault="00000000">
      <w:pPr>
        <w:spacing w:before="156" w:after="156"/>
        <w:jc w:val="center"/>
      </w:pPr>
      <w:r>
        <w:rPr>
          <w:noProof/>
        </w:rPr>
        <w:drawing>
          <wp:inline distT="0" distB="0" distL="114300" distR="114300" wp14:anchorId="6CDE833F" wp14:editId="2F5E0159">
            <wp:extent cx="3781425" cy="3065780"/>
            <wp:effectExtent l="0" t="0" r="13335" b="12700"/>
            <wp:docPr id="530175531" name="图片 530175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175531" name="图片 530175531"/>
                    <pic:cNvPicPr>
                      <a:picLocks noChangeAspect="1"/>
                    </pic:cNvPicPr>
                  </pic:nvPicPr>
                  <pic:blipFill>
                    <a:blip r:embed="rId16"/>
                    <a:stretch>
                      <a:fillRect/>
                    </a:stretch>
                  </pic:blipFill>
                  <pic:spPr>
                    <a:xfrm>
                      <a:off x="0" y="0"/>
                      <a:ext cx="3781425" cy="3065780"/>
                    </a:xfrm>
                    <a:prstGeom prst="rect">
                      <a:avLst/>
                    </a:prstGeom>
                    <a:noFill/>
                    <a:ln>
                      <a:noFill/>
                    </a:ln>
                  </pic:spPr>
                </pic:pic>
              </a:graphicData>
            </a:graphic>
          </wp:inline>
        </w:drawing>
      </w:r>
    </w:p>
    <w:p w14:paraId="54FDB0DC" w14:textId="77777777" w:rsidR="009D5351" w:rsidRDefault="00000000">
      <w:pPr>
        <w:spacing w:before="156" w:after="156"/>
        <w:jc w:val="center"/>
      </w:pPr>
      <w:r>
        <w:rPr>
          <w:rFonts w:hint="eastAsia"/>
        </w:rPr>
        <w:t xml:space="preserve">Figure </w:t>
      </w:r>
      <w:r>
        <w:rPr>
          <w:rFonts w:eastAsiaTheme="minorEastAsia" w:hint="eastAsia"/>
        </w:rPr>
        <w:t>6</w:t>
      </w:r>
      <w:r>
        <w:rPr>
          <w:rFonts w:hint="eastAsia"/>
        </w:rPr>
        <w:t xml:space="preserve">: </w:t>
      </w:r>
      <w:bookmarkStart w:id="54" w:name="_Hlk210121999"/>
      <w:r>
        <w:rPr>
          <w:rFonts w:hint="eastAsia"/>
        </w:rPr>
        <w:t>In-line interference</w:t>
      </w:r>
      <w:bookmarkEnd w:id="54"/>
      <w:r>
        <w:rPr>
          <w:rFonts w:hint="eastAsia"/>
        </w:rPr>
        <w:t xml:space="preserve"> caused by NGSO systems (MEO or LEO)</w:t>
      </w:r>
    </w:p>
    <w:p w14:paraId="2376BD58" w14:textId="77777777" w:rsidR="009D5351" w:rsidRDefault="00000000">
      <w:pPr>
        <w:spacing w:before="156" w:after="156"/>
        <w:rPr>
          <w:rFonts w:eastAsiaTheme="minorEastAsia"/>
        </w:rPr>
      </w:pPr>
      <w:r>
        <w:t xml:space="preserve">To fulfill the aforementioned interference avoidance principles for GEO networks, the coverage of a single NGSO satellite may become incomplete. That is, partial service blind zones may exist within a serving cell. However, the </w:t>
      </w:r>
      <w:r>
        <w:lastRenderedPageBreak/>
        <w:t xml:space="preserve">geographical </w:t>
      </w:r>
      <w:r>
        <w:rPr>
          <w:rFonts w:eastAsia="宋体" w:hint="eastAsia"/>
        </w:rPr>
        <w:t>position</w:t>
      </w:r>
      <w:r>
        <w:t xml:space="preserve"> of these blind zones on the ground changes as the NGSO satellite moves</w:t>
      </w:r>
      <w:r>
        <w:rPr>
          <w:rFonts w:eastAsia="宋体" w:hint="eastAsia"/>
        </w:rPr>
        <w:t>, and the</w:t>
      </w:r>
      <w:r>
        <w:t xml:space="preserve"> UEs are unaware of when they will be affected by such blind zones.</w:t>
      </w:r>
      <w:r>
        <w:rPr>
          <w:rFonts w:eastAsiaTheme="minorEastAsia" w:hint="eastAsia"/>
        </w:rPr>
        <w:t xml:space="preserve"> </w:t>
      </w:r>
      <w:r>
        <w:rPr>
          <w:rFonts w:eastAsiaTheme="minorEastAsia"/>
        </w:rPr>
        <w:t>I</w:t>
      </w:r>
      <w:r>
        <w:rPr>
          <w:rFonts w:eastAsiaTheme="minorEastAsia" w:hint="eastAsia"/>
        </w:rPr>
        <w:t xml:space="preserve">n order to </w:t>
      </w:r>
      <w:r>
        <w:rPr>
          <w:rFonts w:eastAsiaTheme="minorEastAsia"/>
        </w:rPr>
        <w:t>decrease</w:t>
      </w:r>
      <w:r>
        <w:rPr>
          <w:rFonts w:eastAsiaTheme="minorEastAsia" w:hint="eastAsia"/>
        </w:rPr>
        <w:t xml:space="preserve"> the impact for UE, it is </w:t>
      </w:r>
      <w:r>
        <w:rPr>
          <w:rFonts w:eastAsiaTheme="minorEastAsia"/>
        </w:rPr>
        <w:t>recommended</w:t>
      </w:r>
      <w:r>
        <w:rPr>
          <w:rFonts w:eastAsiaTheme="minorEastAsia" w:hint="eastAsia"/>
        </w:rPr>
        <w:t xml:space="preserve"> to study the impact of interference avoidance for GEO.</w:t>
      </w:r>
    </w:p>
    <w:p w14:paraId="1D4A8F25" w14:textId="77777777" w:rsidR="009D5351" w:rsidRDefault="00000000">
      <w:pPr>
        <w:pStyle w:val="1st-Proposal-YJ"/>
        <w:spacing w:before="156" w:after="156"/>
        <w:rPr>
          <w:rFonts w:eastAsia="宋体"/>
        </w:rPr>
      </w:pPr>
      <w:bookmarkStart w:id="55" w:name="_Toc210123224"/>
      <w:bookmarkStart w:id="56" w:name="_Toc210080780"/>
      <w:bookmarkStart w:id="57" w:name="_Toc210122410"/>
      <w:bookmarkStart w:id="58" w:name="_Toc210122345"/>
      <w:bookmarkStart w:id="59" w:name="_Toc210087769"/>
      <w:bookmarkStart w:id="60" w:name="_Toc210087667"/>
      <w:bookmarkStart w:id="61" w:name="_Toc210122157"/>
      <w:bookmarkStart w:id="62" w:name="_Toc210123424"/>
      <w:bookmarkStart w:id="63" w:name="_Toc210123365"/>
      <w:r>
        <w:rPr>
          <w:rFonts w:eastAsia="宋体" w:hint="eastAsia"/>
          <w:i w:val="0"/>
          <w:iCs/>
        </w:rPr>
        <w:t>RAN2</w:t>
      </w:r>
      <w:r>
        <w:rPr>
          <w:rFonts w:eastAsia="宋体"/>
          <w:i w:val="0"/>
          <w:iCs/>
        </w:rPr>
        <w:t xml:space="preserve"> to </w:t>
      </w:r>
      <w:r>
        <w:rPr>
          <w:rFonts w:eastAsia="宋体" w:hint="eastAsia"/>
          <w:i w:val="0"/>
          <w:iCs/>
        </w:rPr>
        <w:t>study</w:t>
      </w:r>
      <w:r>
        <w:rPr>
          <w:rFonts w:eastAsia="宋体"/>
          <w:i w:val="0"/>
          <w:iCs/>
        </w:rPr>
        <w:t xml:space="preserve"> </w:t>
      </w:r>
      <w:r>
        <w:rPr>
          <w:rFonts w:eastAsia="宋体" w:hint="eastAsia"/>
          <w:i w:val="0"/>
          <w:iCs/>
        </w:rPr>
        <w:t>the impact of i</w:t>
      </w:r>
      <w:r>
        <w:rPr>
          <w:rFonts w:eastAsia="宋体"/>
          <w:i w:val="0"/>
          <w:iCs/>
        </w:rPr>
        <w:t>n-line interference</w:t>
      </w:r>
      <w:r>
        <w:rPr>
          <w:rFonts w:eastAsia="宋体" w:hint="eastAsia"/>
          <w:i w:val="0"/>
          <w:iCs/>
        </w:rPr>
        <w:t xml:space="preserve"> between GEO and NGSO, for example, the blind zones.</w:t>
      </w:r>
      <w:bookmarkEnd w:id="55"/>
      <w:bookmarkEnd w:id="56"/>
      <w:bookmarkEnd w:id="57"/>
      <w:bookmarkEnd w:id="58"/>
      <w:bookmarkEnd w:id="59"/>
      <w:bookmarkEnd w:id="60"/>
      <w:bookmarkEnd w:id="61"/>
      <w:bookmarkEnd w:id="62"/>
      <w:bookmarkEnd w:id="63"/>
    </w:p>
    <w:p w14:paraId="50623E6E" w14:textId="77777777" w:rsidR="009D5351" w:rsidRDefault="00000000">
      <w:pPr>
        <w:pStyle w:val="ad"/>
        <w:numPr>
          <w:ilvl w:val="1"/>
          <w:numId w:val="1"/>
        </w:numPr>
        <w:spacing w:before="120" w:after="120"/>
        <w:ind w:firstLineChars="0"/>
        <w:outlineLvl w:val="1"/>
        <w:rPr>
          <w:rFonts w:eastAsia="宋体"/>
          <w:b/>
          <w:sz w:val="24"/>
          <w:szCs w:val="24"/>
        </w:rPr>
      </w:pPr>
      <w:r>
        <w:rPr>
          <w:rFonts w:eastAsia="宋体" w:hint="eastAsia"/>
          <w:b/>
          <w:sz w:val="24"/>
          <w:szCs w:val="24"/>
        </w:rPr>
        <w:t>Energy efficiency</w:t>
      </w:r>
    </w:p>
    <w:p w14:paraId="6401E072" w14:textId="77777777" w:rsidR="009D5351" w:rsidRDefault="00000000">
      <w:pPr>
        <w:spacing w:before="156" w:after="156"/>
        <w:rPr>
          <w:rFonts w:eastAsia="宋体"/>
        </w:rPr>
      </w:pPr>
      <w:r>
        <w:rPr>
          <w:rFonts w:eastAsia="宋体"/>
        </w:rPr>
        <w:t xml:space="preserve">In the NTN network, satellites have very limited </w:t>
      </w:r>
      <w:r>
        <w:rPr>
          <w:rFonts w:eastAsia="宋体" w:hint="eastAsia"/>
        </w:rPr>
        <w:t>e</w:t>
      </w:r>
      <w:r>
        <w:rPr>
          <w:rFonts w:eastAsia="宋体"/>
        </w:rPr>
        <w:t xml:space="preserve">nergy sources, including solar panels and batteries. Once launched, the satellite's energy system is fixed and cannot be recharged </w:t>
      </w:r>
      <w:r>
        <w:rPr>
          <w:rFonts w:eastAsia="宋体" w:hint="eastAsia"/>
        </w:rPr>
        <w:t>in the s</w:t>
      </w:r>
      <w:r>
        <w:rPr>
          <w:rFonts w:eastAsia="宋体"/>
        </w:rPr>
        <w:t xml:space="preserve">hadow </w:t>
      </w:r>
      <w:r>
        <w:rPr>
          <w:rFonts w:eastAsia="宋体" w:hint="eastAsia"/>
        </w:rPr>
        <w:t>z</w:t>
      </w:r>
      <w:r>
        <w:rPr>
          <w:rFonts w:eastAsia="宋体"/>
        </w:rPr>
        <w:t>one</w:t>
      </w:r>
      <w:r>
        <w:rPr>
          <w:rFonts w:eastAsia="宋体" w:hint="eastAsia"/>
        </w:rPr>
        <w:t xml:space="preserve"> </w:t>
      </w:r>
      <w:r>
        <w:rPr>
          <w:rFonts w:eastAsia="宋体"/>
        </w:rPr>
        <w:t>or have its batteries replace</w:t>
      </w:r>
      <w:r>
        <w:rPr>
          <w:rFonts w:eastAsia="宋体" w:hint="eastAsia"/>
        </w:rPr>
        <w:t>d</w:t>
      </w:r>
      <w:r>
        <w:rPr>
          <w:rFonts w:eastAsia="宋体"/>
        </w:rPr>
        <w:t>. Given the energy constraints of satellites, improving energy efficiency becomes an important consideration.</w:t>
      </w:r>
    </w:p>
    <w:p w14:paraId="370C5121" w14:textId="77777777" w:rsidR="009D5351" w:rsidRDefault="00000000">
      <w:pPr>
        <w:spacing w:before="156" w:after="156"/>
        <w:rPr>
          <w:rFonts w:eastAsia="宋体"/>
        </w:rPr>
      </w:pPr>
      <w:r>
        <w:rPr>
          <w:rFonts w:eastAsia="宋体" w:hint="eastAsia"/>
        </w:rPr>
        <w:t>Specifically</w:t>
      </w:r>
      <w:r>
        <w:rPr>
          <w:rFonts w:eastAsia="宋体"/>
        </w:rPr>
        <w:t>, 6G NTN can</w:t>
      </w:r>
      <w:r>
        <w:rPr>
          <w:rFonts w:eastAsia="宋体" w:hint="eastAsia"/>
        </w:rPr>
        <w:t xml:space="preserve"> </w:t>
      </w:r>
      <w:r>
        <w:rPr>
          <w:rFonts w:eastAsia="宋体"/>
        </w:rPr>
        <w:t>consider extending the SSB</w:t>
      </w:r>
      <w:r>
        <w:rPr>
          <w:rFonts w:eastAsia="宋体" w:hint="eastAsia"/>
        </w:rPr>
        <w:t xml:space="preserve"> </w:t>
      </w:r>
      <w:r>
        <w:rPr>
          <w:rFonts w:eastAsia="宋体"/>
        </w:rPr>
        <w:t>period</w:t>
      </w:r>
      <w:r>
        <w:rPr>
          <w:rFonts w:eastAsia="宋体" w:hint="eastAsia"/>
        </w:rPr>
        <w:t>icity (e.g., 320ms)</w:t>
      </w:r>
      <w:r>
        <w:rPr>
          <w:rFonts w:eastAsia="宋体"/>
        </w:rPr>
        <w:t xml:space="preserve"> </w:t>
      </w:r>
      <w:r>
        <w:rPr>
          <w:rFonts w:eastAsia="宋体" w:hint="eastAsia"/>
        </w:rPr>
        <w:t>to</w:t>
      </w:r>
      <w:r>
        <w:rPr>
          <w:rFonts w:eastAsia="宋体"/>
        </w:rPr>
        <w:t xml:space="preserve"> improve satellite energy efficiency. </w:t>
      </w:r>
      <w:r>
        <w:rPr>
          <w:rFonts w:eastAsia="宋体" w:hint="eastAsia"/>
        </w:rPr>
        <w:t>S</w:t>
      </w:r>
      <w:r>
        <w:rPr>
          <w:rFonts w:eastAsia="宋体"/>
        </w:rPr>
        <w:t xml:space="preserve">uch extension may </w:t>
      </w:r>
      <w:r>
        <w:rPr>
          <w:rFonts w:eastAsia="宋体" w:hint="eastAsia"/>
        </w:rPr>
        <w:t xml:space="preserve">have impact on </w:t>
      </w:r>
      <w:r>
        <w:rPr>
          <w:rFonts w:eastAsia="宋体"/>
        </w:rPr>
        <w:t>average latency during initial user access</w:t>
      </w:r>
      <w:r>
        <w:rPr>
          <w:rFonts w:eastAsia="宋体" w:hint="eastAsia"/>
        </w:rPr>
        <w:t xml:space="preserve"> </w:t>
      </w:r>
      <w:r>
        <w:rPr>
          <w:rFonts w:eastAsia="宋体"/>
        </w:rPr>
        <w:t xml:space="preserve">as well as delays in cell handover and reselection, which </w:t>
      </w:r>
      <w:r>
        <w:rPr>
          <w:rFonts w:eastAsia="宋体" w:hint="eastAsia"/>
        </w:rPr>
        <w:t>may decrease</w:t>
      </w:r>
      <w:r>
        <w:rPr>
          <w:rFonts w:eastAsia="宋体"/>
        </w:rPr>
        <w:t xml:space="preserve"> user experience. Consequently, it is </w:t>
      </w:r>
      <w:r>
        <w:rPr>
          <w:rFonts w:eastAsia="宋体" w:hint="eastAsia"/>
        </w:rPr>
        <w:t xml:space="preserve">necessary </w:t>
      </w:r>
      <w:r>
        <w:rPr>
          <w:rFonts w:eastAsia="宋体"/>
        </w:rPr>
        <w:t>to evaluate</w:t>
      </w:r>
      <w:r>
        <w:rPr>
          <w:rFonts w:eastAsia="宋体" w:hint="eastAsia"/>
        </w:rPr>
        <w:t xml:space="preserve"> </w:t>
      </w:r>
      <w:r>
        <w:rPr>
          <w:rFonts w:eastAsia="宋体"/>
        </w:rPr>
        <w:t>these trade-offs in the system design.</w:t>
      </w:r>
    </w:p>
    <w:p w14:paraId="6E911F0D" w14:textId="77777777" w:rsidR="009D5351" w:rsidRDefault="00000000">
      <w:pPr>
        <w:spacing w:before="156" w:after="156"/>
        <w:rPr>
          <w:rFonts w:eastAsia="宋体"/>
        </w:rPr>
      </w:pPr>
      <w:r>
        <w:rPr>
          <w:rFonts w:eastAsia="宋体"/>
        </w:rPr>
        <w:t>6G NTN may consider implementing on-demand signaling to improve</w:t>
      </w:r>
      <w:r>
        <w:rPr>
          <w:rFonts w:eastAsia="宋体" w:hint="eastAsia"/>
        </w:rPr>
        <w:t xml:space="preserve"> </w:t>
      </w:r>
      <w:r>
        <w:rPr>
          <w:rFonts w:eastAsia="宋体"/>
        </w:rPr>
        <w:t xml:space="preserve">satellite energy efficiency. </w:t>
      </w:r>
      <w:r>
        <w:rPr>
          <w:rFonts w:eastAsia="宋体" w:hint="eastAsia"/>
        </w:rPr>
        <w:t>O</w:t>
      </w:r>
      <w:r>
        <w:rPr>
          <w:rFonts w:eastAsia="宋体"/>
        </w:rPr>
        <w:t>n-demand SSB</w:t>
      </w:r>
      <w:r>
        <w:rPr>
          <w:rFonts w:eastAsia="宋体" w:hint="eastAsia"/>
        </w:rPr>
        <w:t xml:space="preserve"> </w:t>
      </w:r>
      <w:r>
        <w:rPr>
          <w:rFonts w:eastAsia="宋体"/>
        </w:rPr>
        <w:t xml:space="preserve">has been </w:t>
      </w:r>
      <w:r>
        <w:rPr>
          <w:rFonts w:eastAsia="宋体" w:hint="eastAsia"/>
        </w:rPr>
        <w:t>introduc</w:t>
      </w:r>
      <w:r>
        <w:rPr>
          <w:rFonts w:eastAsia="宋体"/>
        </w:rPr>
        <w:t>ed</w:t>
      </w:r>
      <w:r>
        <w:rPr>
          <w:rFonts w:eastAsia="宋体" w:hint="eastAsia"/>
        </w:rPr>
        <w:t xml:space="preserve"> i</w:t>
      </w:r>
      <w:r>
        <w:rPr>
          <w:rFonts w:eastAsia="宋体"/>
        </w:rPr>
        <w:t>n 5G</w:t>
      </w:r>
      <w:r>
        <w:rPr>
          <w:rFonts w:eastAsia="宋体" w:hint="eastAsia"/>
        </w:rPr>
        <w:t xml:space="preserve"> and is also</w:t>
      </w:r>
      <w:r>
        <w:rPr>
          <w:rFonts w:eastAsia="宋体"/>
        </w:rPr>
        <w:t xml:space="preserve"> applicable to 6G systems.</w:t>
      </w:r>
      <w:r>
        <w:rPr>
          <w:rFonts w:eastAsia="宋体" w:hint="eastAsia"/>
        </w:rPr>
        <w:t xml:space="preserve"> </w:t>
      </w:r>
      <w:r>
        <w:rPr>
          <w:rFonts w:eastAsia="宋体"/>
        </w:rPr>
        <w:t xml:space="preserve">Both </w:t>
      </w:r>
      <w:r>
        <w:rPr>
          <w:rFonts w:eastAsia="宋体" w:hint="eastAsia"/>
        </w:rPr>
        <w:t>base station</w:t>
      </w:r>
      <w:r>
        <w:rPr>
          <w:rFonts w:eastAsia="宋体"/>
        </w:rPr>
        <w:t xml:space="preserve"> and </w:t>
      </w:r>
      <w:r>
        <w:rPr>
          <w:rFonts w:eastAsia="宋体" w:hint="eastAsia"/>
        </w:rPr>
        <w:t>UE</w:t>
      </w:r>
      <w:r>
        <w:rPr>
          <w:rFonts w:eastAsia="宋体"/>
        </w:rPr>
        <w:t xml:space="preserve"> should enter a</w:t>
      </w:r>
      <w:r>
        <w:rPr>
          <w:rFonts w:eastAsia="宋体" w:hint="eastAsia"/>
        </w:rPr>
        <w:t xml:space="preserve">n inactive </w:t>
      </w:r>
      <w:r>
        <w:rPr>
          <w:rFonts w:eastAsia="宋体"/>
        </w:rPr>
        <w:t xml:space="preserve">state when there is no data transmission, activating signaling only when initiating a service or responding to </w:t>
      </w:r>
      <w:r>
        <w:rPr>
          <w:rFonts w:eastAsia="宋体" w:hint="eastAsia"/>
        </w:rPr>
        <w:t>the</w:t>
      </w:r>
      <w:r>
        <w:rPr>
          <w:rFonts w:eastAsia="宋体"/>
        </w:rPr>
        <w:t xml:space="preserve"> requests. A joint energy-saving strategy between </w:t>
      </w:r>
      <w:proofErr w:type="spellStart"/>
      <w:r>
        <w:rPr>
          <w:rFonts w:eastAsia="宋体" w:hint="eastAsia"/>
        </w:rPr>
        <w:t>xNB</w:t>
      </w:r>
      <w:proofErr w:type="spellEnd"/>
      <w:r>
        <w:rPr>
          <w:rFonts w:eastAsia="宋体"/>
        </w:rPr>
        <w:t xml:space="preserve"> and </w:t>
      </w:r>
      <w:r>
        <w:rPr>
          <w:rFonts w:eastAsia="宋体" w:hint="eastAsia"/>
        </w:rPr>
        <w:t>UEs</w:t>
      </w:r>
      <w:r>
        <w:rPr>
          <w:rFonts w:eastAsia="宋体"/>
        </w:rPr>
        <w:t xml:space="preserve"> should be prioritized in the design.</w:t>
      </w:r>
    </w:p>
    <w:p w14:paraId="50611B2D" w14:textId="77777777" w:rsidR="009D5351" w:rsidRDefault="00000000">
      <w:pPr>
        <w:pStyle w:val="1st-Proposal-YJ"/>
        <w:pBdr>
          <w:bottom w:val="single" w:sz="12" w:space="0" w:color="auto"/>
        </w:pBdr>
        <w:spacing w:before="156" w:after="156"/>
        <w:rPr>
          <w:rFonts w:eastAsiaTheme="minorEastAsia"/>
        </w:rPr>
      </w:pPr>
      <w:bookmarkStart w:id="64" w:name="_Toc210122158"/>
      <w:bookmarkStart w:id="65" w:name="_Toc210080781"/>
      <w:bookmarkStart w:id="66" w:name="_Toc210122411"/>
      <w:bookmarkStart w:id="67" w:name="_Toc210123366"/>
      <w:bookmarkStart w:id="68" w:name="_Toc210122346"/>
      <w:bookmarkStart w:id="69" w:name="_Toc210123225"/>
      <w:bookmarkStart w:id="70" w:name="_Toc210123425"/>
      <w:bookmarkStart w:id="71" w:name="_Toc210087668"/>
      <w:bookmarkStart w:id="72" w:name="_Toc210087770"/>
      <w:r>
        <w:rPr>
          <w:rFonts w:eastAsia="宋体"/>
          <w:i w:val="0"/>
          <w:iCs/>
        </w:rPr>
        <w:t xml:space="preserve">RAN2 </w:t>
      </w:r>
      <w:r>
        <w:rPr>
          <w:rFonts w:eastAsia="宋体" w:hint="eastAsia"/>
          <w:i w:val="0"/>
          <w:iCs/>
        </w:rPr>
        <w:t>to</w:t>
      </w:r>
      <w:r>
        <w:rPr>
          <w:rFonts w:eastAsia="宋体"/>
          <w:i w:val="0"/>
          <w:iCs/>
        </w:rPr>
        <w:t xml:space="preserve"> study energy-efficient design for 6G NTN</w:t>
      </w:r>
      <w:r>
        <w:rPr>
          <w:rFonts w:eastAsia="宋体" w:hint="eastAsia"/>
          <w:i w:val="0"/>
          <w:iCs/>
        </w:rPr>
        <w:t xml:space="preserve"> (e.g., SSB periodicity extension, on-demand SSB)</w:t>
      </w:r>
      <w:r>
        <w:rPr>
          <w:rFonts w:eastAsia="宋体"/>
          <w:i w:val="0"/>
          <w:iCs/>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64"/>
      <w:bookmarkEnd w:id="65"/>
      <w:bookmarkEnd w:id="66"/>
      <w:bookmarkEnd w:id="67"/>
      <w:bookmarkEnd w:id="68"/>
      <w:bookmarkEnd w:id="69"/>
      <w:bookmarkEnd w:id="70"/>
      <w:bookmarkEnd w:id="71"/>
      <w:bookmarkEnd w:id="72"/>
    </w:p>
    <w:p w14:paraId="385C6517" w14:textId="77777777" w:rsidR="009D5351" w:rsidRDefault="00000000">
      <w:pPr>
        <w:pStyle w:val="1"/>
        <w:numPr>
          <w:ilvl w:val="0"/>
          <w:numId w:val="1"/>
        </w:numPr>
        <w:spacing w:beforeLines="0" w:before="0" w:after="156"/>
        <w:rPr>
          <w:rFonts w:eastAsia="宋体"/>
          <w:sz w:val="28"/>
          <w:szCs w:val="28"/>
        </w:rPr>
      </w:pPr>
      <w:r>
        <w:rPr>
          <w:rFonts w:eastAsia="宋体" w:hint="eastAsia"/>
          <w:sz w:val="28"/>
          <w:szCs w:val="28"/>
        </w:rPr>
        <w:t>Conclusion</w:t>
      </w:r>
    </w:p>
    <w:p w14:paraId="4B9EF1BB" w14:textId="77777777" w:rsidR="009D5351" w:rsidRDefault="00000000">
      <w:pPr>
        <w:pStyle w:val="TOC1"/>
        <w:tabs>
          <w:tab w:val="left" w:pos="1760"/>
        </w:tabs>
        <w:rPr>
          <w:rFonts w:asciiTheme="minorHAnsi" w:eastAsiaTheme="minorEastAsia" w:hAnsiTheme="minorHAnsi" w:cstheme="minorBidi" w:hint="eastAsia"/>
          <w:b w:val="0"/>
          <w:i w:val="0"/>
          <w:sz w:val="22"/>
          <w:szCs w:val="24"/>
          <w14:ligatures w14:val="standardContextual"/>
        </w:rPr>
      </w:pPr>
      <w:r>
        <w:rPr>
          <w:rFonts w:eastAsiaTheme="minorEastAsia"/>
        </w:rPr>
        <w:fldChar w:fldCharType="begin"/>
      </w:r>
      <w:r>
        <w:rPr>
          <w:rFonts w:eastAsiaTheme="minorEastAsia"/>
        </w:rPr>
        <w:instrText xml:space="preserve"> </w:instrText>
      </w:r>
      <w:r>
        <w:rPr>
          <w:rFonts w:eastAsiaTheme="minorEastAsia" w:hint="eastAsia"/>
        </w:rPr>
        <w:instrText>TOC \n \t "1st-ob-YJ,1,2nd-ob-YJ,2,3nd-ob-YJ,3"</w:instrText>
      </w:r>
      <w:r>
        <w:rPr>
          <w:rFonts w:eastAsiaTheme="minorEastAsia"/>
        </w:rPr>
        <w:instrText xml:space="preserve"> </w:instrText>
      </w:r>
      <w:r>
        <w:rPr>
          <w:rFonts w:eastAsiaTheme="minorEastAsia"/>
        </w:rPr>
        <w:fldChar w:fldCharType="separate"/>
      </w:r>
      <w:r>
        <w:rPr>
          <w:rFonts w:eastAsia="宋体" w:hint="eastAsia"/>
          <w:i w:val="0"/>
          <w:iCs/>
        </w:rPr>
        <w:t>Observation 1:</w:t>
      </w:r>
      <w:r>
        <w:rPr>
          <w:rFonts w:asciiTheme="minorHAnsi" w:eastAsiaTheme="minorEastAsia" w:hAnsiTheme="minorHAnsi" w:cstheme="minorBidi" w:hint="eastAsia"/>
          <w:b w:val="0"/>
          <w:i w:val="0"/>
          <w:sz w:val="22"/>
          <w:szCs w:val="24"/>
          <w14:ligatures w14:val="standardContextual"/>
        </w:rPr>
        <w:tab/>
      </w:r>
      <w:r>
        <w:rPr>
          <w:rFonts w:eastAsia="宋体" w:hint="eastAsia"/>
          <w:i w:val="0"/>
          <w:iCs/>
        </w:rPr>
        <w:t>In the scenario of multi-beam cell, the cell may have irregular shape (i.e. non-circular) due to the inclusion of multiple circular beams within it.</w:t>
      </w:r>
    </w:p>
    <w:p w14:paraId="2BAC6CA0" w14:textId="77777777" w:rsidR="009D5351" w:rsidRDefault="00000000">
      <w:pPr>
        <w:spacing w:before="156" w:after="156"/>
      </w:pPr>
      <w:r>
        <w:rPr>
          <w:rFonts w:eastAsiaTheme="minorEastAsia"/>
        </w:rPr>
        <w:fldChar w:fldCharType="end"/>
      </w:r>
      <w:r>
        <w:rPr>
          <w:rFonts w:eastAsiaTheme="minorEastAsia" w:cs="Times New Roman"/>
          <w:b/>
          <w:i/>
          <w:szCs w:val="20"/>
        </w:rPr>
        <w:fldChar w:fldCharType="begin"/>
      </w:r>
      <w:r>
        <w:rPr>
          <w:rFonts w:eastAsiaTheme="minorEastAsia"/>
        </w:rPr>
        <w:instrText xml:space="preserve"> TOC \n \t "1st-Proposal-YJ,1,2nd-proposal-YJ,2,3nd-proposal-YJ,3" </w:instrText>
      </w:r>
      <w:r>
        <w:rPr>
          <w:rFonts w:eastAsiaTheme="minorEastAsia" w:cs="Times New Roman"/>
          <w:b/>
          <w:i/>
          <w:szCs w:val="20"/>
        </w:rPr>
        <w:fldChar w:fldCharType="separate"/>
      </w:r>
    </w:p>
    <w:p w14:paraId="10CFF9DD" w14:textId="77777777" w:rsidR="009D5351" w:rsidRDefault="00000000">
      <w:pPr>
        <w:pStyle w:val="TOC1"/>
        <w:rPr>
          <w:rFonts w:asciiTheme="minorHAnsi" w:eastAsiaTheme="minorEastAsia" w:hAnsiTheme="minorHAnsi" w:cstheme="minorBidi" w:hint="eastAsia"/>
          <w:b w:val="0"/>
          <w:i w:val="0"/>
          <w:sz w:val="22"/>
          <w:szCs w:val="24"/>
          <w14:ligatures w14:val="standardContextual"/>
        </w:rPr>
      </w:pPr>
      <w:r>
        <w:rPr>
          <w:rFonts w:eastAsia="宋体" w:hint="eastAsia"/>
          <w:i w:val="0"/>
        </w:rPr>
        <w:t>Proposal 1:</w:t>
      </w:r>
      <w:r>
        <w:rPr>
          <w:rFonts w:asciiTheme="minorHAnsi" w:eastAsiaTheme="minorEastAsia" w:hAnsiTheme="minorHAnsi" w:cstheme="minorBidi" w:hint="eastAsia"/>
          <w:b w:val="0"/>
          <w:i w:val="0"/>
          <w:sz w:val="22"/>
          <w:szCs w:val="24"/>
          <w14:ligatures w14:val="standardContextual"/>
        </w:rPr>
        <w:tab/>
      </w:r>
      <w:r>
        <w:rPr>
          <w:rFonts w:eastAsiaTheme="minorEastAsia" w:hint="eastAsia"/>
          <w:i w:val="0"/>
        </w:rPr>
        <w:t>RAN2 to study</w:t>
      </w:r>
      <w:r>
        <w:rPr>
          <w:rFonts w:hint="eastAsia"/>
          <w:i w:val="0"/>
        </w:rPr>
        <w:t xml:space="preserve"> the</w:t>
      </w:r>
      <w:r>
        <w:rPr>
          <w:rFonts w:eastAsiaTheme="minorEastAsia" w:hint="eastAsia"/>
          <w:i w:val="0"/>
        </w:rPr>
        <w:t xml:space="preserve"> </w:t>
      </w:r>
      <w:r>
        <w:rPr>
          <w:rFonts w:hint="eastAsia"/>
          <w:i w:val="0"/>
        </w:rPr>
        <w:t>impact</w:t>
      </w:r>
      <w:r>
        <w:rPr>
          <w:rFonts w:eastAsiaTheme="minorEastAsia" w:hint="eastAsia"/>
          <w:i w:val="0"/>
        </w:rPr>
        <w:t>s</w:t>
      </w:r>
      <w:r>
        <w:rPr>
          <w:rFonts w:hint="eastAsia"/>
          <w:i w:val="0"/>
        </w:rPr>
        <w:t xml:space="preserve"> </w:t>
      </w:r>
      <w:r>
        <w:rPr>
          <w:rFonts w:eastAsiaTheme="minorEastAsia" w:hint="eastAsia"/>
          <w:i w:val="0"/>
        </w:rPr>
        <w:t>on</w:t>
      </w:r>
      <w:r>
        <w:rPr>
          <w:rFonts w:hint="eastAsia"/>
          <w:i w:val="0"/>
        </w:rPr>
        <w:t xml:space="preserve"> the irregular shape of NTN cells</w:t>
      </w:r>
      <w:r>
        <w:rPr>
          <w:rFonts w:eastAsiaTheme="minorEastAsia" w:hint="eastAsia"/>
          <w:i w:val="0"/>
        </w:rPr>
        <w:t>, for example, mobility</w:t>
      </w:r>
      <w:r>
        <w:rPr>
          <w:rFonts w:hint="eastAsia"/>
          <w:i w:val="0"/>
        </w:rPr>
        <w:t>.</w:t>
      </w:r>
    </w:p>
    <w:p w14:paraId="15B14E8E" w14:textId="77777777" w:rsidR="009D5351" w:rsidRDefault="00000000">
      <w:pPr>
        <w:pStyle w:val="TOC1"/>
        <w:rPr>
          <w:rFonts w:asciiTheme="minorHAnsi" w:eastAsiaTheme="minorEastAsia" w:hAnsiTheme="minorHAnsi" w:cstheme="minorBidi" w:hint="eastAsia"/>
          <w:b w:val="0"/>
          <w:i w:val="0"/>
          <w:sz w:val="22"/>
          <w:szCs w:val="24"/>
          <w14:ligatures w14:val="standardContextual"/>
        </w:rPr>
      </w:pPr>
      <w:r>
        <w:rPr>
          <w:rFonts w:eastAsia="宋体" w:hint="eastAsia"/>
          <w:i w:val="0"/>
          <w:iCs/>
        </w:rPr>
        <w:t>Proposal 2:</w:t>
      </w:r>
      <w:r>
        <w:rPr>
          <w:rFonts w:asciiTheme="minorHAnsi" w:eastAsiaTheme="minorEastAsia" w:hAnsiTheme="minorHAnsi" w:cstheme="minorBidi" w:hint="eastAsia"/>
          <w:b w:val="0"/>
          <w:i w:val="0"/>
          <w:sz w:val="22"/>
          <w:szCs w:val="24"/>
          <w14:ligatures w14:val="standardContextual"/>
        </w:rPr>
        <w:tab/>
      </w:r>
      <w:r>
        <w:rPr>
          <w:rFonts w:eastAsia="宋体" w:hint="eastAsia"/>
          <w:i w:val="0"/>
          <w:iCs/>
        </w:rPr>
        <w:t>RAN2 to study a new case 2 with cell coverage in two consecutive periods partly overlap in multi-beam deployment.</w:t>
      </w:r>
    </w:p>
    <w:p w14:paraId="4E1F6B10" w14:textId="77777777" w:rsidR="009D5351" w:rsidRDefault="00000000">
      <w:pPr>
        <w:pStyle w:val="TOC1"/>
        <w:rPr>
          <w:rFonts w:asciiTheme="minorHAnsi" w:eastAsiaTheme="minorEastAsia" w:hAnsiTheme="minorHAnsi" w:cstheme="minorBidi" w:hint="eastAsia"/>
          <w:b w:val="0"/>
          <w:i w:val="0"/>
          <w:sz w:val="22"/>
          <w:szCs w:val="24"/>
          <w14:ligatures w14:val="standardContextual"/>
        </w:rPr>
      </w:pPr>
      <w:r>
        <w:rPr>
          <w:rFonts w:eastAsia="宋体" w:hint="eastAsia"/>
          <w:i w:val="0"/>
          <w:iCs/>
        </w:rPr>
        <w:t>Proposal 3:</w:t>
      </w:r>
      <w:r>
        <w:rPr>
          <w:rFonts w:asciiTheme="minorHAnsi" w:eastAsiaTheme="minorEastAsia" w:hAnsiTheme="minorHAnsi" w:cstheme="minorBidi" w:hint="eastAsia"/>
          <w:b w:val="0"/>
          <w:i w:val="0"/>
          <w:sz w:val="22"/>
          <w:szCs w:val="24"/>
          <w14:ligatures w14:val="standardContextual"/>
        </w:rPr>
        <w:tab/>
      </w:r>
      <w:r>
        <w:rPr>
          <w:rFonts w:eastAsia="宋体" w:hint="eastAsia"/>
          <w:i w:val="0"/>
          <w:iCs/>
        </w:rPr>
        <w:t>RAN2 to study a fine-grained signaling design for 6G NTN.</w:t>
      </w:r>
    </w:p>
    <w:p w14:paraId="265B179C" w14:textId="77777777" w:rsidR="009D5351" w:rsidRDefault="00000000">
      <w:pPr>
        <w:pStyle w:val="TOC1"/>
        <w:rPr>
          <w:rFonts w:asciiTheme="minorHAnsi" w:eastAsiaTheme="minorEastAsia" w:hAnsiTheme="minorHAnsi" w:cstheme="minorBidi" w:hint="eastAsia"/>
          <w:b w:val="0"/>
          <w:i w:val="0"/>
          <w:sz w:val="22"/>
          <w:szCs w:val="24"/>
          <w14:ligatures w14:val="standardContextual"/>
        </w:rPr>
      </w:pPr>
      <w:r>
        <w:rPr>
          <w:rFonts w:eastAsia="宋体" w:hint="eastAsia"/>
          <w:i w:val="0"/>
        </w:rPr>
        <w:t>Proposal 4:</w:t>
      </w:r>
      <w:r>
        <w:rPr>
          <w:rFonts w:asciiTheme="minorHAnsi" w:eastAsiaTheme="minorEastAsia" w:hAnsiTheme="minorHAnsi" w:cstheme="minorBidi" w:hint="eastAsia"/>
          <w:b w:val="0"/>
          <w:i w:val="0"/>
          <w:sz w:val="22"/>
          <w:szCs w:val="24"/>
          <w14:ligatures w14:val="standardContextual"/>
        </w:rPr>
        <w:tab/>
      </w:r>
      <w:r>
        <w:rPr>
          <w:rFonts w:eastAsia="宋体" w:hint="eastAsia"/>
          <w:i w:val="0"/>
          <w:iCs/>
        </w:rPr>
        <w:t>RAN2 to study the impact of in-line interference between GEO and NGSO, for example, the blind zones.</w:t>
      </w:r>
    </w:p>
    <w:p w14:paraId="0FA58A80" w14:textId="77777777" w:rsidR="009D5351" w:rsidRDefault="00000000">
      <w:pPr>
        <w:pStyle w:val="TOC1"/>
        <w:rPr>
          <w:rFonts w:eastAsiaTheme="minorEastAsia"/>
        </w:rPr>
      </w:pPr>
      <w:r>
        <w:rPr>
          <w:rFonts w:eastAsia="宋体" w:hint="eastAsia"/>
          <w:i w:val="0"/>
        </w:rPr>
        <w:t>Proposal 5:</w:t>
      </w:r>
      <w:r>
        <w:rPr>
          <w:rFonts w:asciiTheme="minorHAnsi" w:eastAsiaTheme="minorEastAsia" w:hAnsiTheme="minorHAnsi" w:cstheme="minorBidi" w:hint="eastAsia"/>
          <w:b w:val="0"/>
          <w:i w:val="0"/>
          <w:sz w:val="22"/>
          <w:szCs w:val="24"/>
          <w14:ligatures w14:val="standardContextual"/>
        </w:rPr>
        <w:tab/>
      </w:r>
      <w:r>
        <w:rPr>
          <w:rFonts w:eastAsia="宋体" w:hint="eastAsia"/>
          <w:i w:val="0"/>
          <w:iCs/>
        </w:rPr>
        <w:t>RAN2 to study energy-efficient design for 6G NTN (e.g., SSB periodicity extension, on-demand SSB).</w:t>
      </w:r>
      <w:r>
        <w:rPr>
          <w:rFonts w:eastAsiaTheme="minorEastAsia"/>
        </w:rPr>
        <w:fldChar w:fldCharType="end"/>
      </w:r>
    </w:p>
    <w:p w14:paraId="5CBF0745" w14:textId="77777777" w:rsidR="009D5351" w:rsidRDefault="009D5351">
      <w:pPr>
        <w:pBdr>
          <w:bottom w:val="single" w:sz="12" w:space="1" w:color="auto"/>
        </w:pBdr>
        <w:spacing w:before="156" w:after="156"/>
        <w:rPr>
          <w:rFonts w:eastAsiaTheme="minorEastAsia"/>
        </w:rPr>
      </w:pPr>
    </w:p>
    <w:p w14:paraId="2786D9CE" w14:textId="77777777" w:rsidR="009D5351" w:rsidRDefault="00000000">
      <w:pPr>
        <w:pStyle w:val="1"/>
        <w:numPr>
          <w:ilvl w:val="0"/>
          <w:numId w:val="1"/>
        </w:numPr>
        <w:spacing w:before="156" w:after="156"/>
        <w:rPr>
          <w:rFonts w:eastAsia="宋体"/>
          <w:sz w:val="28"/>
          <w:szCs w:val="28"/>
        </w:rPr>
      </w:pPr>
      <w:r>
        <w:rPr>
          <w:rFonts w:eastAsia="宋体"/>
          <w:sz w:val="28"/>
          <w:szCs w:val="28"/>
        </w:rPr>
        <w:lastRenderedPageBreak/>
        <w:t xml:space="preserve">Reference </w:t>
      </w:r>
    </w:p>
    <w:p w14:paraId="7B5E7159" w14:textId="77777777" w:rsidR="009D5351" w:rsidRDefault="00000000">
      <w:pPr>
        <w:pStyle w:val="ad"/>
        <w:numPr>
          <w:ilvl w:val="0"/>
          <w:numId w:val="10"/>
        </w:numPr>
        <w:ind w:firstLineChars="0"/>
        <w:rPr>
          <w:rFonts w:eastAsiaTheme="minorEastAsia"/>
        </w:rPr>
      </w:pPr>
      <w:r>
        <w:rPr>
          <w:rFonts w:eastAsiaTheme="minorEastAsia" w:hint="eastAsia"/>
        </w:rPr>
        <w:t>RP-252882,</w:t>
      </w:r>
      <w:r>
        <w:rPr>
          <w:rFonts w:eastAsiaTheme="minorEastAsia"/>
        </w:rPr>
        <w:t xml:space="preserve"> TR 38.914 v0.</w:t>
      </w:r>
      <w:r>
        <w:rPr>
          <w:rFonts w:eastAsiaTheme="minorEastAsia" w:hint="eastAsia"/>
        </w:rPr>
        <w:t>2</w:t>
      </w:r>
      <w:r>
        <w:rPr>
          <w:rFonts w:eastAsiaTheme="minorEastAsia"/>
        </w:rPr>
        <w:t xml:space="preserve">.0 for Study on 6G Scenarios and requirements, </w:t>
      </w:r>
      <w:r>
        <w:rPr>
          <w:rFonts w:eastAsiaTheme="minorEastAsia" w:hint="eastAsia"/>
        </w:rPr>
        <w:t xml:space="preserve">CMCC, </w:t>
      </w:r>
      <w:r>
        <w:rPr>
          <w:rFonts w:eastAsiaTheme="minorEastAsia"/>
        </w:rPr>
        <w:t>3GPP TSG#10</w:t>
      </w:r>
      <w:r>
        <w:rPr>
          <w:rFonts w:eastAsiaTheme="minorEastAsia" w:hint="eastAsia"/>
        </w:rPr>
        <w:t>9</w:t>
      </w:r>
      <w:r>
        <w:rPr>
          <w:rFonts w:eastAsiaTheme="minorEastAsia"/>
        </w:rPr>
        <w:t xml:space="preserve">, </w:t>
      </w:r>
      <w:r>
        <w:rPr>
          <w:rFonts w:eastAsiaTheme="minorEastAsia" w:hint="eastAsia"/>
        </w:rPr>
        <w:t>Beijing,</w:t>
      </w:r>
      <w:r>
        <w:rPr>
          <w:rFonts w:eastAsiaTheme="minorEastAsia"/>
        </w:rPr>
        <w:t xml:space="preserve"> C</w:t>
      </w:r>
      <w:r>
        <w:rPr>
          <w:rFonts w:eastAsiaTheme="minorEastAsia" w:hint="eastAsia"/>
        </w:rPr>
        <w:t>hina</w:t>
      </w:r>
      <w:r>
        <w:rPr>
          <w:rFonts w:eastAsiaTheme="minorEastAsia"/>
        </w:rPr>
        <w:t xml:space="preserve">, </w:t>
      </w:r>
      <w:r>
        <w:rPr>
          <w:rFonts w:eastAsiaTheme="minorEastAsia" w:hint="eastAsia"/>
        </w:rPr>
        <w:t>September</w:t>
      </w:r>
      <w:r>
        <w:rPr>
          <w:rFonts w:eastAsiaTheme="minorEastAsia"/>
        </w:rPr>
        <w:t xml:space="preserve"> </w:t>
      </w:r>
      <w:r>
        <w:rPr>
          <w:rFonts w:eastAsiaTheme="minorEastAsia" w:hint="eastAsia"/>
        </w:rPr>
        <w:t>15</w:t>
      </w:r>
      <w:r>
        <w:rPr>
          <w:rFonts w:eastAsiaTheme="minorEastAsia"/>
        </w:rPr>
        <w:t>-1</w:t>
      </w:r>
      <w:r>
        <w:rPr>
          <w:rFonts w:eastAsiaTheme="minorEastAsia" w:hint="eastAsia"/>
        </w:rPr>
        <w:t>8</w:t>
      </w:r>
      <w:r>
        <w:rPr>
          <w:rFonts w:eastAsiaTheme="minorEastAsia"/>
        </w:rPr>
        <w:t>, 2025</w:t>
      </w:r>
    </w:p>
    <w:p w14:paraId="712F6867" w14:textId="77777777" w:rsidR="009D5351" w:rsidRDefault="00000000">
      <w:pPr>
        <w:pStyle w:val="ad"/>
        <w:numPr>
          <w:ilvl w:val="0"/>
          <w:numId w:val="10"/>
        </w:numPr>
        <w:ind w:firstLineChars="0"/>
        <w:rPr>
          <w:rFonts w:eastAsiaTheme="minorEastAsia"/>
        </w:rPr>
      </w:pPr>
      <w:r>
        <w:rPr>
          <w:rFonts w:eastAsia="宋体" w:hint="eastAsia"/>
        </w:rPr>
        <w:t xml:space="preserve">RP-252912, Revised SID: Study on 6G Radio, NTT DOCOMO, CMCC, AT&amp;T, Vodafone, </w:t>
      </w:r>
      <w:r>
        <w:rPr>
          <w:rFonts w:eastAsiaTheme="minorEastAsia"/>
        </w:rPr>
        <w:t>3GPP TSG#10</w:t>
      </w:r>
      <w:r>
        <w:rPr>
          <w:rFonts w:eastAsiaTheme="minorEastAsia" w:hint="eastAsia"/>
        </w:rPr>
        <w:t>9</w:t>
      </w:r>
      <w:r>
        <w:rPr>
          <w:rFonts w:eastAsiaTheme="minorEastAsia"/>
        </w:rPr>
        <w:t xml:space="preserve">, </w:t>
      </w:r>
      <w:r>
        <w:rPr>
          <w:rFonts w:eastAsiaTheme="minorEastAsia" w:hint="eastAsia"/>
        </w:rPr>
        <w:t>Beijing,</w:t>
      </w:r>
      <w:r>
        <w:rPr>
          <w:rFonts w:eastAsiaTheme="minorEastAsia"/>
        </w:rPr>
        <w:t xml:space="preserve"> C</w:t>
      </w:r>
      <w:r>
        <w:rPr>
          <w:rFonts w:eastAsiaTheme="minorEastAsia" w:hint="eastAsia"/>
        </w:rPr>
        <w:t>hina</w:t>
      </w:r>
      <w:r>
        <w:rPr>
          <w:rFonts w:eastAsiaTheme="minorEastAsia"/>
        </w:rPr>
        <w:t xml:space="preserve">, </w:t>
      </w:r>
      <w:r>
        <w:rPr>
          <w:rFonts w:eastAsiaTheme="minorEastAsia" w:hint="eastAsia"/>
        </w:rPr>
        <w:t>September</w:t>
      </w:r>
      <w:r>
        <w:rPr>
          <w:rFonts w:eastAsiaTheme="minorEastAsia"/>
        </w:rPr>
        <w:t xml:space="preserve"> </w:t>
      </w:r>
      <w:r>
        <w:rPr>
          <w:rFonts w:eastAsiaTheme="minorEastAsia" w:hint="eastAsia"/>
        </w:rPr>
        <w:t>15</w:t>
      </w:r>
      <w:r>
        <w:rPr>
          <w:rFonts w:eastAsiaTheme="minorEastAsia"/>
        </w:rPr>
        <w:t>-1</w:t>
      </w:r>
      <w:r>
        <w:rPr>
          <w:rFonts w:eastAsiaTheme="minorEastAsia" w:hint="eastAsia"/>
        </w:rPr>
        <w:t>8</w:t>
      </w:r>
      <w:r>
        <w:rPr>
          <w:rFonts w:eastAsiaTheme="minorEastAsia"/>
        </w:rPr>
        <w:t>, 2025</w:t>
      </w:r>
    </w:p>
    <w:p w14:paraId="42C52809" w14:textId="77777777" w:rsidR="009D5351" w:rsidRDefault="00000000">
      <w:pPr>
        <w:pStyle w:val="ad"/>
        <w:numPr>
          <w:ilvl w:val="0"/>
          <w:numId w:val="10"/>
        </w:numPr>
        <w:ind w:firstLineChars="0"/>
        <w:rPr>
          <w:rFonts w:eastAsiaTheme="minorEastAsia"/>
        </w:rPr>
      </w:pPr>
      <w:r>
        <w:rPr>
          <w:rFonts w:eastAsia="宋体" w:hint="eastAsia"/>
        </w:rPr>
        <w:t xml:space="preserve">RP-252873, Moderator's summary on 6G diverse device types (incl. minimum UE bandwidth), Apple, </w:t>
      </w:r>
      <w:r>
        <w:rPr>
          <w:rFonts w:eastAsiaTheme="minorEastAsia"/>
        </w:rPr>
        <w:t>3GPP TSG#10</w:t>
      </w:r>
      <w:r>
        <w:rPr>
          <w:rFonts w:eastAsiaTheme="minorEastAsia" w:hint="eastAsia"/>
        </w:rPr>
        <w:t>9</w:t>
      </w:r>
      <w:r>
        <w:rPr>
          <w:rFonts w:eastAsiaTheme="minorEastAsia"/>
        </w:rPr>
        <w:t xml:space="preserve">, </w:t>
      </w:r>
      <w:r>
        <w:rPr>
          <w:rFonts w:eastAsiaTheme="minorEastAsia" w:hint="eastAsia"/>
        </w:rPr>
        <w:t>Beijing,</w:t>
      </w:r>
      <w:r>
        <w:rPr>
          <w:rFonts w:eastAsiaTheme="minorEastAsia"/>
        </w:rPr>
        <w:t xml:space="preserve"> C</w:t>
      </w:r>
      <w:r>
        <w:rPr>
          <w:rFonts w:eastAsiaTheme="minorEastAsia" w:hint="eastAsia"/>
        </w:rPr>
        <w:t>hina</w:t>
      </w:r>
      <w:r>
        <w:rPr>
          <w:rFonts w:eastAsiaTheme="minorEastAsia"/>
        </w:rPr>
        <w:t xml:space="preserve">, </w:t>
      </w:r>
      <w:r>
        <w:rPr>
          <w:rFonts w:eastAsiaTheme="minorEastAsia" w:hint="eastAsia"/>
        </w:rPr>
        <w:t>September</w:t>
      </w:r>
      <w:r>
        <w:rPr>
          <w:rFonts w:eastAsiaTheme="minorEastAsia"/>
        </w:rPr>
        <w:t xml:space="preserve"> </w:t>
      </w:r>
      <w:r>
        <w:rPr>
          <w:rFonts w:eastAsiaTheme="minorEastAsia" w:hint="eastAsia"/>
        </w:rPr>
        <w:t>15</w:t>
      </w:r>
      <w:r>
        <w:rPr>
          <w:rFonts w:eastAsiaTheme="minorEastAsia"/>
        </w:rPr>
        <w:t>-1</w:t>
      </w:r>
      <w:r>
        <w:rPr>
          <w:rFonts w:eastAsiaTheme="minorEastAsia" w:hint="eastAsia"/>
        </w:rPr>
        <w:t>8</w:t>
      </w:r>
      <w:r>
        <w:rPr>
          <w:rFonts w:eastAsiaTheme="minorEastAsia"/>
        </w:rPr>
        <w:t>, 2025</w:t>
      </w:r>
    </w:p>
    <w:p w14:paraId="209DBB69" w14:textId="77777777" w:rsidR="009D5351" w:rsidRDefault="00000000">
      <w:pPr>
        <w:pStyle w:val="ad"/>
        <w:numPr>
          <w:ilvl w:val="0"/>
          <w:numId w:val="10"/>
        </w:numPr>
        <w:ind w:firstLineChars="0"/>
        <w:rPr>
          <w:rFonts w:eastAsiaTheme="minorEastAsia"/>
        </w:rPr>
      </w:pPr>
      <w:r>
        <w:rPr>
          <w:rFonts w:eastAsiaTheme="minorEastAsia" w:hint="eastAsia"/>
        </w:rPr>
        <w:t>TR 38.821, Solutions for NR to support non-terrestrial networks (NTN), v16.2.0</w:t>
      </w:r>
    </w:p>
    <w:p w14:paraId="5E2B7253" w14:textId="77777777" w:rsidR="009D5351" w:rsidRDefault="00000000">
      <w:pPr>
        <w:pStyle w:val="ad"/>
        <w:numPr>
          <w:ilvl w:val="0"/>
          <w:numId w:val="10"/>
        </w:numPr>
        <w:ind w:firstLineChars="0"/>
        <w:rPr>
          <w:rFonts w:eastAsiaTheme="minorEastAsia"/>
        </w:rPr>
      </w:pPr>
      <w:r>
        <w:rPr>
          <w:rFonts w:eastAsiaTheme="minorEastAsia" w:hint="eastAsia"/>
        </w:rPr>
        <w:t>TS 38.300, NR and NG-RAN Overall Description, v18.6.0</w:t>
      </w:r>
    </w:p>
    <w:sectPr w:rsidR="009D5351">
      <w:headerReference w:type="even" r:id="rId17"/>
      <w:headerReference w:type="default" r:id="rId18"/>
      <w:footerReference w:type="even" r:id="rId19"/>
      <w:footerReference w:type="default" r:id="rId20"/>
      <w:headerReference w:type="first" r:id="rId21"/>
      <w:footerReference w:type="first" r:id="rId22"/>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FAB8E" w14:textId="77777777" w:rsidR="00D20944" w:rsidRDefault="00D20944">
      <w:pPr>
        <w:spacing w:before="120" w:after="120"/>
      </w:pPr>
      <w:r>
        <w:separator/>
      </w:r>
    </w:p>
  </w:endnote>
  <w:endnote w:type="continuationSeparator" w:id="0">
    <w:p w14:paraId="5D4C8131" w14:textId="77777777" w:rsidR="00D20944" w:rsidRDefault="00D2094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11FFE" w14:textId="77777777" w:rsidR="009D5351" w:rsidRDefault="009D5351">
    <w:pPr>
      <w:pStyle w:val="a5"/>
      <w:spacing w:before="120" w:after="120"/>
    </w:pPr>
  </w:p>
  <w:p w14:paraId="56352C10" w14:textId="77777777" w:rsidR="009D5351" w:rsidRDefault="009D5351">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sdtPr>
    <w:sdtEndPr>
      <w:rPr>
        <w:sz w:val="20"/>
        <w:szCs w:val="20"/>
      </w:rPr>
    </w:sdtEndPr>
    <w:sdtContent>
      <w:p w14:paraId="79AC972C" w14:textId="77777777" w:rsidR="009D5351" w:rsidRDefault="00000000">
        <w:pPr>
          <w:pStyle w:val="a5"/>
          <w:spacing w:before="120" w:after="120"/>
          <w:jc w:val="center"/>
          <w:rPr>
            <w:sz w:val="20"/>
            <w:szCs w:val="20"/>
          </w:rPr>
        </w:pPr>
        <w:r>
          <w:rPr>
            <w:sz w:val="20"/>
            <w:szCs w:val="20"/>
          </w:rPr>
          <w:fldChar w:fldCharType="begin"/>
        </w:r>
        <w:r>
          <w:rPr>
            <w:sz w:val="20"/>
            <w:szCs w:val="20"/>
          </w:rPr>
          <w:instrText>PAGE   \* MERGEFORMAT</w:instrText>
        </w:r>
        <w:r>
          <w:rPr>
            <w:sz w:val="20"/>
            <w:szCs w:val="20"/>
          </w:rPr>
          <w:fldChar w:fldCharType="separate"/>
        </w:r>
        <w:r>
          <w:rPr>
            <w:sz w:val="20"/>
            <w:szCs w:val="20"/>
            <w:lang w:val="zh-CN"/>
          </w:rPr>
          <w:t>3</w:t>
        </w:r>
        <w:r>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A31A4" w14:textId="77777777" w:rsidR="009D5351" w:rsidRDefault="009D5351">
    <w:pPr>
      <w:pStyle w:val="a5"/>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670D3" w14:textId="77777777" w:rsidR="00D20944" w:rsidRDefault="00D20944">
      <w:pPr>
        <w:spacing w:before="120" w:after="120"/>
      </w:pPr>
      <w:r>
        <w:separator/>
      </w:r>
    </w:p>
  </w:footnote>
  <w:footnote w:type="continuationSeparator" w:id="0">
    <w:p w14:paraId="6B19969A" w14:textId="77777777" w:rsidR="00D20944" w:rsidRDefault="00D20944">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8621" w14:textId="77777777" w:rsidR="009D5351" w:rsidRDefault="009D5351">
    <w:pPr>
      <w:pStyle w:val="a7"/>
      <w:spacing w:before="120" w:after="120"/>
    </w:pPr>
  </w:p>
  <w:p w14:paraId="070465FA" w14:textId="77777777" w:rsidR="009D5351" w:rsidRDefault="009D5351">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21B4E" w14:textId="77777777" w:rsidR="009D5351" w:rsidRDefault="009D5351">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9075B" w14:textId="77777777" w:rsidR="009D5351" w:rsidRDefault="009D5351">
    <w:pPr>
      <w:pStyle w:val="a7"/>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B6A55"/>
    <w:multiLevelType w:val="multilevel"/>
    <w:tmpl w:val="075B6A55"/>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val="0"/>
        <w:caps w:val="0"/>
        <w:strike w:val="0"/>
        <w:dstrike w:val="0"/>
        <w:vanish w:val="0"/>
        <w:color w:val="auto"/>
        <w:sz w:val="20"/>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29445E4A"/>
    <w:multiLevelType w:val="multilevel"/>
    <w:tmpl w:val="29445E4A"/>
    <w:lvl w:ilvl="0">
      <w:start w:val="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39F2447"/>
    <w:multiLevelType w:val="multilevel"/>
    <w:tmpl w:val="339F2447"/>
    <w:lvl w:ilvl="0">
      <w:start w:val="5"/>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D7D0BD3"/>
    <w:multiLevelType w:val="multilevel"/>
    <w:tmpl w:val="4D7D0BD3"/>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B464B"/>
    <w:multiLevelType w:val="multilevel"/>
    <w:tmpl w:val="791B4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57780328">
    <w:abstractNumId w:val="6"/>
  </w:num>
  <w:num w:numId="2" w16cid:durableId="1655331476">
    <w:abstractNumId w:val="4"/>
  </w:num>
  <w:num w:numId="3" w16cid:durableId="1685402668">
    <w:abstractNumId w:val="1"/>
  </w:num>
  <w:num w:numId="4" w16cid:durableId="450393353">
    <w:abstractNumId w:val="5"/>
  </w:num>
  <w:num w:numId="5" w16cid:durableId="553154154">
    <w:abstractNumId w:val="7"/>
  </w:num>
  <w:num w:numId="6" w16cid:durableId="1297636327">
    <w:abstractNumId w:val="8"/>
  </w:num>
  <w:num w:numId="7" w16cid:durableId="1105805806">
    <w:abstractNumId w:val="3"/>
  </w:num>
  <w:num w:numId="8" w16cid:durableId="1777674855">
    <w:abstractNumId w:val="9"/>
  </w:num>
  <w:num w:numId="9" w16cid:durableId="223444218">
    <w:abstractNumId w:val="2"/>
  </w:num>
  <w:num w:numId="10" w16cid:durableId="510950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168F"/>
    <w:rsid w:val="00001DE3"/>
    <w:rsid w:val="0000283C"/>
    <w:rsid w:val="00002B65"/>
    <w:rsid w:val="000072AA"/>
    <w:rsid w:val="00007DD6"/>
    <w:rsid w:val="00010F4A"/>
    <w:rsid w:val="000122E4"/>
    <w:rsid w:val="000131B0"/>
    <w:rsid w:val="00014FD9"/>
    <w:rsid w:val="0002304C"/>
    <w:rsid w:val="00023402"/>
    <w:rsid w:val="00023C7D"/>
    <w:rsid w:val="00025580"/>
    <w:rsid w:val="00026DA5"/>
    <w:rsid w:val="00030353"/>
    <w:rsid w:val="00030560"/>
    <w:rsid w:val="00031553"/>
    <w:rsid w:val="000318AE"/>
    <w:rsid w:val="0003252A"/>
    <w:rsid w:val="00033A0B"/>
    <w:rsid w:val="000359F9"/>
    <w:rsid w:val="00036786"/>
    <w:rsid w:val="00037899"/>
    <w:rsid w:val="00041A7E"/>
    <w:rsid w:val="0004450B"/>
    <w:rsid w:val="000461CD"/>
    <w:rsid w:val="00046AFE"/>
    <w:rsid w:val="00046C8B"/>
    <w:rsid w:val="00050E62"/>
    <w:rsid w:val="000524F1"/>
    <w:rsid w:val="000549C4"/>
    <w:rsid w:val="00056201"/>
    <w:rsid w:val="0006112F"/>
    <w:rsid w:val="000640A0"/>
    <w:rsid w:val="0007489F"/>
    <w:rsid w:val="000803D2"/>
    <w:rsid w:val="00080592"/>
    <w:rsid w:val="00080E96"/>
    <w:rsid w:val="00083487"/>
    <w:rsid w:val="000840E6"/>
    <w:rsid w:val="00085D5E"/>
    <w:rsid w:val="000864C4"/>
    <w:rsid w:val="000874EC"/>
    <w:rsid w:val="00094193"/>
    <w:rsid w:val="00097D0B"/>
    <w:rsid w:val="000A0575"/>
    <w:rsid w:val="000A2281"/>
    <w:rsid w:val="000A2DD6"/>
    <w:rsid w:val="000B2531"/>
    <w:rsid w:val="000B31BD"/>
    <w:rsid w:val="000B60BE"/>
    <w:rsid w:val="000B6C78"/>
    <w:rsid w:val="000B73E0"/>
    <w:rsid w:val="000B7DAD"/>
    <w:rsid w:val="000C23FE"/>
    <w:rsid w:val="000C32E4"/>
    <w:rsid w:val="000C54C8"/>
    <w:rsid w:val="000D057B"/>
    <w:rsid w:val="000D0749"/>
    <w:rsid w:val="000D14E9"/>
    <w:rsid w:val="000D1A1A"/>
    <w:rsid w:val="000D3071"/>
    <w:rsid w:val="000D354C"/>
    <w:rsid w:val="000D4B5A"/>
    <w:rsid w:val="000E7737"/>
    <w:rsid w:val="000F0101"/>
    <w:rsid w:val="000F187D"/>
    <w:rsid w:val="000F5794"/>
    <w:rsid w:val="000F7DB2"/>
    <w:rsid w:val="00101B49"/>
    <w:rsid w:val="00102C02"/>
    <w:rsid w:val="00103A82"/>
    <w:rsid w:val="00105194"/>
    <w:rsid w:val="001057E8"/>
    <w:rsid w:val="00106466"/>
    <w:rsid w:val="001070B3"/>
    <w:rsid w:val="0010726A"/>
    <w:rsid w:val="001076AD"/>
    <w:rsid w:val="00110843"/>
    <w:rsid w:val="00111854"/>
    <w:rsid w:val="001139B9"/>
    <w:rsid w:val="00115ACD"/>
    <w:rsid w:val="00116995"/>
    <w:rsid w:val="001217DE"/>
    <w:rsid w:val="0012206D"/>
    <w:rsid w:val="0012227B"/>
    <w:rsid w:val="00123138"/>
    <w:rsid w:val="00124455"/>
    <w:rsid w:val="00124555"/>
    <w:rsid w:val="001268B5"/>
    <w:rsid w:val="001317A6"/>
    <w:rsid w:val="00131E69"/>
    <w:rsid w:val="00134CA7"/>
    <w:rsid w:val="00141F58"/>
    <w:rsid w:val="00142C97"/>
    <w:rsid w:val="00146985"/>
    <w:rsid w:val="00153D9F"/>
    <w:rsid w:val="0015471E"/>
    <w:rsid w:val="00161BD0"/>
    <w:rsid w:val="00162838"/>
    <w:rsid w:val="00170068"/>
    <w:rsid w:val="00172522"/>
    <w:rsid w:val="00173391"/>
    <w:rsid w:val="00174085"/>
    <w:rsid w:val="00174618"/>
    <w:rsid w:val="001749BF"/>
    <w:rsid w:val="00174D9C"/>
    <w:rsid w:val="00174DAB"/>
    <w:rsid w:val="001820CF"/>
    <w:rsid w:val="001862F6"/>
    <w:rsid w:val="00186FA2"/>
    <w:rsid w:val="00187AC9"/>
    <w:rsid w:val="00191666"/>
    <w:rsid w:val="00196B13"/>
    <w:rsid w:val="001A09D1"/>
    <w:rsid w:val="001A21A6"/>
    <w:rsid w:val="001A23D3"/>
    <w:rsid w:val="001A516C"/>
    <w:rsid w:val="001A668B"/>
    <w:rsid w:val="001A6772"/>
    <w:rsid w:val="001A6C54"/>
    <w:rsid w:val="001A6DB5"/>
    <w:rsid w:val="001A76A8"/>
    <w:rsid w:val="001A79CB"/>
    <w:rsid w:val="001B01B1"/>
    <w:rsid w:val="001B1475"/>
    <w:rsid w:val="001B2E95"/>
    <w:rsid w:val="001B52EC"/>
    <w:rsid w:val="001B6166"/>
    <w:rsid w:val="001B7E7D"/>
    <w:rsid w:val="001C2B18"/>
    <w:rsid w:val="001C3352"/>
    <w:rsid w:val="001C3896"/>
    <w:rsid w:val="001C68E0"/>
    <w:rsid w:val="001C6E84"/>
    <w:rsid w:val="001C7A71"/>
    <w:rsid w:val="001D08D8"/>
    <w:rsid w:val="001D1B3E"/>
    <w:rsid w:val="001D4521"/>
    <w:rsid w:val="001D73FE"/>
    <w:rsid w:val="001D7ABB"/>
    <w:rsid w:val="001E1452"/>
    <w:rsid w:val="001E165B"/>
    <w:rsid w:val="001E31E9"/>
    <w:rsid w:val="001E4822"/>
    <w:rsid w:val="001E6679"/>
    <w:rsid w:val="001F18EA"/>
    <w:rsid w:val="001F19CB"/>
    <w:rsid w:val="001F3879"/>
    <w:rsid w:val="00200432"/>
    <w:rsid w:val="002012C0"/>
    <w:rsid w:val="00201882"/>
    <w:rsid w:val="002020EC"/>
    <w:rsid w:val="002022CF"/>
    <w:rsid w:val="0020299E"/>
    <w:rsid w:val="002041C5"/>
    <w:rsid w:val="00204442"/>
    <w:rsid w:val="00207576"/>
    <w:rsid w:val="00207852"/>
    <w:rsid w:val="00207D46"/>
    <w:rsid w:val="00210665"/>
    <w:rsid w:val="00210EA4"/>
    <w:rsid w:val="00214F90"/>
    <w:rsid w:val="00220EDD"/>
    <w:rsid w:val="00223ED4"/>
    <w:rsid w:val="002249B0"/>
    <w:rsid w:val="00225920"/>
    <w:rsid w:val="0022595F"/>
    <w:rsid w:val="002264F4"/>
    <w:rsid w:val="00231970"/>
    <w:rsid w:val="002322F5"/>
    <w:rsid w:val="002347BE"/>
    <w:rsid w:val="00235674"/>
    <w:rsid w:val="00237097"/>
    <w:rsid w:val="002428C4"/>
    <w:rsid w:val="00242B4F"/>
    <w:rsid w:val="0024489A"/>
    <w:rsid w:val="002467EF"/>
    <w:rsid w:val="00246FAF"/>
    <w:rsid w:val="00251125"/>
    <w:rsid w:val="00251847"/>
    <w:rsid w:val="00251C15"/>
    <w:rsid w:val="00254253"/>
    <w:rsid w:val="00254A56"/>
    <w:rsid w:val="00255A4E"/>
    <w:rsid w:val="00256AD7"/>
    <w:rsid w:val="00261409"/>
    <w:rsid w:val="002625C2"/>
    <w:rsid w:val="0026325E"/>
    <w:rsid w:val="00266A33"/>
    <w:rsid w:val="00267DCD"/>
    <w:rsid w:val="00270A85"/>
    <w:rsid w:val="00274A26"/>
    <w:rsid w:val="0027629B"/>
    <w:rsid w:val="00276451"/>
    <w:rsid w:val="0027660B"/>
    <w:rsid w:val="002803C2"/>
    <w:rsid w:val="00280965"/>
    <w:rsid w:val="002815DA"/>
    <w:rsid w:val="00281796"/>
    <w:rsid w:val="002859CF"/>
    <w:rsid w:val="002878A2"/>
    <w:rsid w:val="00290E36"/>
    <w:rsid w:val="002946F7"/>
    <w:rsid w:val="002A08E6"/>
    <w:rsid w:val="002A0F60"/>
    <w:rsid w:val="002A2884"/>
    <w:rsid w:val="002A37F4"/>
    <w:rsid w:val="002A7494"/>
    <w:rsid w:val="002B2DFC"/>
    <w:rsid w:val="002B3A13"/>
    <w:rsid w:val="002B3F87"/>
    <w:rsid w:val="002B4403"/>
    <w:rsid w:val="002B768A"/>
    <w:rsid w:val="002C0D1D"/>
    <w:rsid w:val="002C16DB"/>
    <w:rsid w:val="002C1FE9"/>
    <w:rsid w:val="002C2594"/>
    <w:rsid w:val="002C2D45"/>
    <w:rsid w:val="002C70F2"/>
    <w:rsid w:val="002D2142"/>
    <w:rsid w:val="002D2563"/>
    <w:rsid w:val="002D31E7"/>
    <w:rsid w:val="002D4DBA"/>
    <w:rsid w:val="002D526E"/>
    <w:rsid w:val="002D5430"/>
    <w:rsid w:val="002D6422"/>
    <w:rsid w:val="002D67EC"/>
    <w:rsid w:val="002D6DC2"/>
    <w:rsid w:val="002E2018"/>
    <w:rsid w:val="002E3DDE"/>
    <w:rsid w:val="002E4AD8"/>
    <w:rsid w:val="002E57C7"/>
    <w:rsid w:val="002E6956"/>
    <w:rsid w:val="002E7C38"/>
    <w:rsid w:val="002F0B54"/>
    <w:rsid w:val="002F20B4"/>
    <w:rsid w:val="002F5D90"/>
    <w:rsid w:val="002F5F2E"/>
    <w:rsid w:val="00300675"/>
    <w:rsid w:val="00300A40"/>
    <w:rsid w:val="00301D52"/>
    <w:rsid w:val="00306632"/>
    <w:rsid w:val="00310AD3"/>
    <w:rsid w:val="00311003"/>
    <w:rsid w:val="003119C9"/>
    <w:rsid w:val="00312AA6"/>
    <w:rsid w:val="003131ED"/>
    <w:rsid w:val="003148FC"/>
    <w:rsid w:val="00315F30"/>
    <w:rsid w:val="00316810"/>
    <w:rsid w:val="003173A1"/>
    <w:rsid w:val="0031743B"/>
    <w:rsid w:val="00320A5E"/>
    <w:rsid w:val="00321D81"/>
    <w:rsid w:val="003220BD"/>
    <w:rsid w:val="00322540"/>
    <w:rsid w:val="00322EDC"/>
    <w:rsid w:val="00327AC5"/>
    <w:rsid w:val="0033549E"/>
    <w:rsid w:val="00337200"/>
    <w:rsid w:val="003378A3"/>
    <w:rsid w:val="00340037"/>
    <w:rsid w:val="00341A23"/>
    <w:rsid w:val="00342099"/>
    <w:rsid w:val="00343559"/>
    <w:rsid w:val="0034453C"/>
    <w:rsid w:val="0034454B"/>
    <w:rsid w:val="00355DAA"/>
    <w:rsid w:val="00355E4B"/>
    <w:rsid w:val="0036435D"/>
    <w:rsid w:val="003645CD"/>
    <w:rsid w:val="00364B47"/>
    <w:rsid w:val="00365C4C"/>
    <w:rsid w:val="00366284"/>
    <w:rsid w:val="00366700"/>
    <w:rsid w:val="00367001"/>
    <w:rsid w:val="00370910"/>
    <w:rsid w:val="003709E0"/>
    <w:rsid w:val="0037135F"/>
    <w:rsid w:val="00373C8F"/>
    <w:rsid w:val="003763F5"/>
    <w:rsid w:val="00377420"/>
    <w:rsid w:val="00380D6E"/>
    <w:rsid w:val="003825AF"/>
    <w:rsid w:val="0038294E"/>
    <w:rsid w:val="00393E59"/>
    <w:rsid w:val="0039570D"/>
    <w:rsid w:val="00395ABC"/>
    <w:rsid w:val="00397EE8"/>
    <w:rsid w:val="003A078C"/>
    <w:rsid w:val="003A08DE"/>
    <w:rsid w:val="003A282D"/>
    <w:rsid w:val="003A4500"/>
    <w:rsid w:val="003A4ACF"/>
    <w:rsid w:val="003A4E58"/>
    <w:rsid w:val="003A512C"/>
    <w:rsid w:val="003A7D0A"/>
    <w:rsid w:val="003A7E54"/>
    <w:rsid w:val="003B7C87"/>
    <w:rsid w:val="003B7CD2"/>
    <w:rsid w:val="003C13A5"/>
    <w:rsid w:val="003C14C0"/>
    <w:rsid w:val="003C2C76"/>
    <w:rsid w:val="003C35EA"/>
    <w:rsid w:val="003C3E9C"/>
    <w:rsid w:val="003C5336"/>
    <w:rsid w:val="003C55B0"/>
    <w:rsid w:val="003C650C"/>
    <w:rsid w:val="003C72BE"/>
    <w:rsid w:val="003C7B90"/>
    <w:rsid w:val="003D0620"/>
    <w:rsid w:val="003D0672"/>
    <w:rsid w:val="003D1181"/>
    <w:rsid w:val="003D261F"/>
    <w:rsid w:val="003D3D28"/>
    <w:rsid w:val="003D52FA"/>
    <w:rsid w:val="003D76ED"/>
    <w:rsid w:val="003E3964"/>
    <w:rsid w:val="003E533F"/>
    <w:rsid w:val="003E5D6A"/>
    <w:rsid w:val="003E62E7"/>
    <w:rsid w:val="003E6DAC"/>
    <w:rsid w:val="003F0B50"/>
    <w:rsid w:val="003F15AF"/>
    <w:rsid w:val="003F2B5E"/>
    <w:rsid w:val="003F3CBF"/>
    <w:rsid w:val="003F5F2D"/>
    <w:rsid w:val="003F7F2E"/>
    <w:rsid w:val="00402A5E"/>
    <w:rsid w:val="00403216"/>
    <w:rsid w:val="00403BDE"/>
    <w:rsid w:val="004045B7"/>
    <w:rsid w:val="004054AC"/>
    <w:rsid w:val="00411936"/>
    <w:rsid w:val="0041237A"/>
    <w:rsid w:val="00412AB9"/>
    <w:rsid w:val="00412AF9"/>
    <w:rsid w:val="00422013"/>
    <w:rsid w:val="004231DC"/>
    <w:rsid w:val="004247ED"/>
    <w:rsid w:val="00425DFB"/>
    <w:rsid w:val="0042764B"/>
    <w:rsid w:val="00427F02"/>
    <w:rsid w:val="004312F2"/>
    <w:rsid w:val="00432788"/>
    <w:rsid w:val="0043574F"/>
    <w:rsid w:val="0043695E"/>
    <w:rsid w:val="00437158"/>
    <w:rsid w:val="00440EFE"/>
    <w:rsid w:val="00441057"/>
    <w:rsid w:val="00441ADF"/>
    <w:rsid w:val="00451A6D"/>
    <w:rsid w:val="00451C1C"/>
    <w:rsid w:val="004533F1"/>
    <w:rsid w:val="004546D9"/>
    <w:rsid w:val="00455027"/>
    <w:rsid w:val="004604F8"/>
    <w:rsid w:val="00462627"/>
    <w:rsid w:val="004672F7"/>
    <w:rsid w:val="00470064"/>
    <w:rsid w:val="0047065F"/>
    <w:rsid w:val="004743DE"/>
    <w:rsid w:val="00475706"/>
    <w:rsid w:val="00475E1A"/>
    <w:rsid w:val="00482317"/>
    <w:rsid w:val="004825C3"/>
    <w:rsid w:val="00483EB3"/>
    <w:rsid w:val="00484DA6"/>
    <w:rsid w:val="004854B0"/>
    <w:rsid w:val="0048594B"/>
    <w:rsid w:val="004905F6"/>
    <w:rsid w:val="004907C9"/>
    <w:rsid w:val="0049562E"/>
    <w:rsid w:val="004963C3"/>
    <w:rsid w:val="00497F84"/>
    <w:rsid w:val="004A0CB2"/>
    <w:rsid w:val="004A28A2"/>
    <w:rsid w:val="004A2AE4"/>
    <w:rsid w:val="004A3B4F"/>
    <w:rsid w:val="004A5266"/>
    <w:rsid w:val="004A62AC"/>
    <w:rsid w:val="004A65C3"/>
    <w:rsid w:val="004B01CF"/>
    <w:rsid w:val="004B13D5"/>
    <w:rsid w:val="004B2238"/>
    <w:rsid w:val="004B38AF"/>
    <w:rsid w:val="004B3E33"/>
    <w:rsid w:val="004B4BA9"/>
    <w:rsid w:val="004C1C9D"/>
    <w:rsid w:val="004C45C8"/>
    <w:rsid w:val="004C6087"/>
    <w:rsid w:val="004C6F6B"/>
    <w:rsid w:val="004D2550"/>
    <w:rsid w:val="004D30E1"/>
    <w:rsid w:val="004D36F7"/>
    <w:rsid w:val="004D51FF"/>
    <w:rsid w:val="004D52DC"/>
    <w:rsid w:val="004D53CE"/>
    <w:rsid w:val="004D6D4C"/>
    <w:rsid w:val="004D77C2"/>
    <w:rsid w:val="004D7BE3"/>
    <w:rsid w:val="004D7C12"/>
    <w:rsid w:val="004D7FB6"/>
    <w:rsid w:val="004E056E"/>
    <w:rsid w:val="004E239C"/>
    <w:rsid w:val="004E4BBA"/>
    <w:rsid w:val="004F26EE"/>
    <w:rsid w:val="004F2D38"/>
    <w:rsid w:val="00504EC8"/>
    <w:rsid w:val="005059B8"/>
    <w:rsid w:val="00506829"/>
    <w:rsid w:val="005077B7"/>
    <w:rsid w:val="00507F2F"/>
    <w:rsid w:val="005149BA"/>
    <w:rsid w:val="00515805"/>
    <w:rsid w:val="00515E52"/>
    <w:rsid w:val="005229E4"/>
    <w:rsid w:val="00523823"/>
    <w:rsid w:val="00523E42"/>
    <w:rsid w:val="005255B5"/>
    <w:rsid w:val="00527ED1"/>
    <w:rsid w:val="0053061D"/>
    <w:rsid w:val="00531667"/>
    <w:rsid w:val="00534B3B"/>
    <w:rsid w:val="00534F01"/>
    <w:rsid w:val="00536B83"/>
    <w:rsid w:val="00541BD0"/>
    <w:rsid w:val="00542029"/>
    <w:rsid w:val="0054494D"/>
    <w:rsid w:val="005449DC"/>
    <w:rsid w:val="00545861"/>
    <w:rsid w:val="00547ACA"/>
    <w:rsid w:val="00551B25"/>
    <w:rsid w:val="00554BAB"/>
    <w:rsid w:val="00554EEE"/>
    <w:rsid w:val="005579AF"/>
    <w:rsid w:val="0056186C"/>
    <w:rsid w:val="005620EB"/>
    <w:rsid w:val="005634DF"/>
    <w:rsid w:val="00567198"/>
    <w:rsid w:val="00572A76"/>
    <w:rsid w:val="00574C3D"/>
    <w:rsid w:val="00574C49"/>
    <w:rsid w:val="005766FE"/>
    <w:rsid w:val="00581E8D"/>
    <w:rsid w:val="00582E97"/>
    <w:rsid w:val="00584576"/>
    <w:rsid w:val="00585C37"/>
    <w:rsid w:val="005874E6"/>
    <w:rsid w:val="00590990"/>
    <w:rsid w:val="0059412C"/>
    <w:rsid w:val="00594447"/>
    <w:rsid w:val="00594E93"/>
    <w:rsid w:val="00596665"/>
    <w:rsid w:val="00597C5E"/>
    <w:rsid w:val="005A037C"/>
    <w:rsid w:val="005A0612"/>
    <w:rsid w:val="005A31C0"/>
    <w:rsid w:val="005A3323"/>
    <w:rsid w:val="005A3AD8"/>
    <w:rsid w:val="005A44F1"/>
    <w:rsid w:val="005A4804"/>
    <w:rsid w:val="005A6141"/>
    <w:rsid w:val="005B0022"/>
    <w:rsid w:val="005B0FC9"/>
    <w:rsid w:val="005B156B"/>
    <w:rsid w:val="005B17B3"/>
    <w:rsid w:val="005B20E7"/>
    <w:rsid w:val="005B31C3"/>
    <w:rsid w:val="005C3902"/>
    <w:rsid w:val="005C3A15"/>
    <w:rsid w:val="005C3AF5"/>
    <w:rsid w:val="005C4331"/>
    <w:rsid w:val="005C5EEC"/>
    <w:rsid w:val="005C62F8"/>
    <w:rsid w:val="005C6E0C"/>
    <w:rsid w:val="005C6EEE"/>
    <w:rsid w:val="005C7371"/>
    <w:rsid w:val="005D106F"/>
    <w:rsid w:val="005D1DE3"/>
    <w:rsid w:val="005D1E9E"/>
    <w:rsid w:val="005D2D69"/>
    <w:rsid w:val="005D5020"/>
    <w:rsid w:val="005D5877"/>
    <w:rsid w:val="005D795E"/>
    <w:rsid w:val="005E2B55"/>
    <w:rsid w:val="005E3F85"/>
    <w:rsid w:val="005E60F1"/>
    <w:rsid w:val="005E7B62"/>
    <w:rsid w:val="005F1AB7"/>
    <w:rsid w:val="005F36CE"/>
    <w:rsid w:val="005F63C7"/>
    <w:rsid w:val="006011C8"/>
    <w:rsid w:val="00603E21"/>
    <w:rsid w:val="00603EA0"/>
    <w:rsid w:val="00604ADA"/>
    <w:rsid w:val="006058D7"/>
    <w:rsid w:val="0061106D"/>
    <w:rsid w:val="00614BCA"/>
    <w:rsid w:val="006156F2"/>
    <w:rsid w:val="00617180"/>
    <w:rsid w:val="00623082"/>
    <w:rsid w:val="00623A74"/>
    <w:rsid w:val="00625250"/>
    <w:rsid w:val="0062529C"/>
    <w:rsid w:val="0062785A"/>
    <w:rsid w:val="00627D53"/>
    <w:rsid w:val="0063076D"/>
    <w:rsid w:val="00633B89"/>
    <w:rsid w:val="0063480B"/>
    <w:rsid w:val="00635FD9"/>
    <w:rsid w:val="00636F6E"/>
    <w:rsid w:val="0064295F"/>
    <w:rsid w:val="00643843"/>
    <w:rsid w:val="00645006"/>
    <w:rsid w:val="00647BF1"/>
    <w:rsid w:val="0065088B"/>
    <w:rsid w:val="00654AB0"/>
    <w:rsid w:val="00656D5E"/>
    <w:rsid w:val="006571DB"/>
    <w:rsid w:val="00660F4D"/>
    <w:rsid w:val="00661095"/>
    <w:rsid w:val="00662F75"/>
    <w:rsid w:val="006633DF"/>
    <w:rsid w:val="00663ACE"/>
    <w:rsid w:val="006642F9"/>
    <w:rsid w:val="00666B6A"/>
    <w:rsid w:val="0066760F"/>
    <w:rsid w:val="0067092D"/>
    <w:rsid w:val="00670DBD"/>
    <w:rsid w:val="00671315"/>
    <w:rsid w:val="00671A41"/>
    <w:rsid w:val="00676039"/>
    <w:rsid w:val="006805A9"/>
    <w:rsid w:val="00685180"/>
    <w:rsid w:val="00693CBE"/>
    <w:rsid w:val="00694C47"/>
    <w:rsid w:val="00695468"/>
    <w:rsid w:val="00697F35"/>
    <w:rsid w:val="006A1A40"/>
    <w:rsid w:val="006A3893"/>
    <w:rsid w:val="006A3F0A"/>
    <w:rsid w:val="006A54E7"/>
    <w:rsid w:val="006B252A"/>
    <w:rsid w:val="006B29C5"/>
    <w:rsid w:val="006B2B96"/>
    <w:rsid w:val="006B716F"/>
    <w:rsid w:val="006C02F2"/>
    <w:rsid w:val="006C0F15"/>
    <w:rsid w:val="006C36DC"/>
    <w:rsid w:val="006C50C6"/>
    <w:rsid w:val="006C7860"/>
    <w:rsid w:val="006D13F3"/>
    <w:rsid w:val="006D409E"/>
    <w:rsid w:val="006D666F"/>
    <w:rsid w:val="006D6B7A"/>
    <w:rsid w:val="006E2796"/>
    <w:rsid w:val="006E4751"/>
    <w:rsid w:val="006E5F05"/>
    <w:rsid w:val="006E644A"/>
    <w:rsid w:val="006F0337"/>
    <w:rsid w:val="006F072D"/>
    <w:rsid w:val="006F0A44"/>
    <w:rsid w:val="006F0E28"/>
    <w:rsid w:val="006F23C1"/>
    <w:rsid w:val="006F2C91"/>
    <w:rsid w:val="00704D7D"/>
    <w:rsid w:val="007053EB"/>
    <w:rsid w:val="00705CD3"/>
    <w:rsid w:val="007064DB"/>
    <w:rsid w:val="00707ACC"/>
    <w:rsid w:val="00707B7F"/>
    <w:rsid w:val="007108D3"/>
    <w:rsid w:val="00710BA2"/>
    <w:rsid w:val="00710E96"/>
    <w:rsid w:val="00711DA7"/>
    <w:rsid w:val="007134AA"/>
    <w:rsid w:val="00715CAE"/>
    <w:rsid w:val="0072285A"/>
    <w:rsid w:val="00723554"/>
    <w:rsid w:val="00727347"/>
    <w:rsid w:val="00731E9E"/>
    <w:rsid w:val="007324C1"/>
    <w:rsid w:val="00732C57"/>
    <w:rsid w:val="007356D7"/>
    <w:rsid w:val="00736D7D"/>
    <w:rsid w:val="0074098F"/>
    <w:rsid w:val="00741BE6"/>
    <w:rsid w:val="00743779"/>
    <w:rsid w:val="007455B7"/>
    <w:rsid w:val="0074799E"/>
    <w:rsid w:val="007502B6"/>
    <w:rsid w:val="007516BB"/>
    <w:rsid w:val="00752998"/>
    <w:rsid w:val="007531A0"/>
    <w:rsid w:val="00754AB1"/>
    <w:rsid w:val="0075710C"/>
    <w:rsid w:val="0075729E"/>
    <w:rsid w:val="00762ED4"/>
    <w:rsid w:val="0076345E"/>
    <w:rsid w:val="007654A4"/>
    <w:rsid w:val="00766324"/>
    <w:rsid w:val="007664FA"/>
    <w:rsid w:val="0076737F"/>
    <w:rsid w:val="007706CD"/>
    <w:rsid w:val="00771F67"/>
    <w:rsid w:val="007750F1"/>
    <w:rsid w:val="0078187B"/>
    <w:rsid w:val="00781894"/>
    <w:rsid w:val="007825B9"/>
    <w:rsid w:val="007836B2"/>
    <w:rsid w:val="007876E0"/>
    <w:rsid w:val="00791BB3"/>
    <w:rsid w:val="007948B6"/>
    <w:rsid w:val="007A1695"/>
    <w:rsid w:val="007A547B"/>
    <w:rsid w:val="007B2F6F"/>
    <w:rsid w:val="007B36F2"/>
    <w:rsid w:val="007B40D3"/>
    <w:rsid w:val="007B486E"/>
    <w:rsid w:val="007B5244"/>
    <w:rsid w:val="007B7D3B"/>
    <w:rsid w:val="007B7DD1"/>
    <w:rsid w:val="007C0DD4"/>
    <w:rsid w:val="007C3158"/>
    <w:rsid w:val="007C44CC"/>
    <w:rsid w:val="007C45AE"/>
    <w:rsid w:val="007C4EB4"/>
    <w:rsid w:val="007C5E8F"/>
    <w:rsid w:val="007D02C6"/>
    <w:rsid w:val="007D0EFA"/>
    <w:rsid w:val="007D5BF4"/>
    <w:rsid w:val="007D7C91"/>
    <w:rsid w:val="007E2F10"/>
    <w:rsid w:val="007E3E84"/>
    <w:rsid w:val="007E7427"/>
    <w:rsid w:val="007F135D"/>
    <w:rsid w:val="007F2C22"/>
    <w:rsid w:val="007F40C3"/>
    <w:rsid w:val="007F55C2"/>
    <w:rsid w:val="007F6AEF"/>
    <w:rsid w:val="007F7518"/>
    <w:rsid w:val="00800ED9"/>
    <w:rsid w:val="00801AAE"/>
    <w:rsid w:val="00803869"/>
    <w:rsid w:val="00804400"/>
    <w:rsid w:val="008068B4"/>
    <w:rsid w:val="00806CB4"/>
    <w:rsid w:val="0081011A"/>
    <w:rsid w:val="00811922"/>
    <w:rsid w:val="00814FA6"/>
    <w:rsid w:val="00821038"/>
    <w:rsid w:val="00822779"/>
    <w:rsid w:val="00822BF5"/>
    <w:rsid w:val="008242C1"/>
    <w:rsid w:val="008244CC"/>
    <w:rsid w:val="00825135"/>
    <w:rsid w:val="0082513B"/>
    <w:rsid w:val="00825BF5"/>
    <w:rsid w:val="00830E2B"/>
    <w:rsid w:val="00830F95"/>
    <w:rsid w:val="008313D3"/>
    <w:rsid w:val="0083208E"/>
    <w:rsid w:val="00832962"/>
    <w:rsid w:val="00832FD6"/>
    <w:rsid w:val="00834549"/>
    <w:rsid w:val="0083546D"/>
    <w:rsid w:val="00837714"/>
    <w:rsid w:val="00837BF6"/>
    <w:rsid w:val="008415E4"/>
    <w:rsid w:val="00841F88"/>
    <w:rsid w:val="008433EA"/>
    <w:rsid w:val="00850033"/>
    <w:rsid w:val="0085606D"/>
    <w:rsid w:val="00856197"/>
    <w:rsid w:val="00857BD4"/>
    <w:rsid w:val="00857F87"/>
    <w:rsid w:val="00861588"/>
    <w:rsid w:val="00866FAA"/>
    <w:rsid w:val="00870788"/>
    <w:rsid w:val="0087087E"/>
    <w:rsid w:val="00871F9D"/>
    <w:rsid w:val="00873CDE"/>
    <w:rsid w:val="008778DD"/>
    <w:rsid w:val="0088052C"/>
    <w:rsid w:val="00883676"/>
    <w:rsid w:val="0088390E"/>
    <w:rsid w:val="008850B6"/>
    <w:rsid w:val="00890993"/>
    <w:rsid w:val="00891741"/>
    <w:rsid w:val="008925E6"/>
    <w:rsid w:val="00892C90"/>
    <w:rsid w:val="00895694"/>
    <w:rsid w:val="008957A0"/>
    <w:rsid w:val="008A2EB9"/>
    <w:rsid w:val="008A69C0"/>
    <w:rsid w:val="008A6AC6"/>
    <w:rsid w:val="008A6B8E"/>
    <w:rsid w:val="008A70B4"/>
    <w:rsid w:val="008B108D"/>
    <w:rsid w:val="008B1499"/>
    <w:rsid w:val="008B458D"/>
    <w:rsid w:val="008B59BB"/>
    <w:rsid w:val="008B6DD7"/>
    <w:rsid w:val="008C2EFA"/>
    <w:rsid w:val="008C3D25"/>
    <w:rsid w:val="008C75B6"/>
    <w:rsid w:val="008D0133"/>
    <w:rsid w:val="008D36A4"/>
    <w:rsid w:val="008E53ED"/>
    <w:rsid w:val="008E5B38"/>
    <w:rsid w:val="008F084C"/>
    <w:rsid w:val="008F359C"/>
    <w:rsid w:val="008F3C45"/>
    <w:rsid w:val="008F3CC2"/>
    <w:rsid w:val="008F49C3"/>
    <w:rsid w:val="008F6772"/>
    <w:rsid w:val="008F7FB5"/>
    <w:rsid w:val="0090228E"/>
    <w:rsid w:val="0090344E"/>
    <w:rsid w:val="00903A05"/>
    <w:rsid w:val="009040E3"/>
    <w:rsid w:val="0090707C"/>
    <w:rsid w:val="009101F4"/>
    <w:rsid w:val="0091056F"/>
    <w:rsid w:val="00913133"/>
    <w:rsid w:val="0091401B"/>
    <w:rsid w:val="009144DE"/>
    <w:rsid w:val="00915104"/>
    <w:rsid w:val="00915CAB"/>
    <w:rsid w:val="009165CC"/>
    <w:rsid w:val="00921022"/>
    <w:rsid w:val="0092430D"/>
    <w:rsid w:val="0092538E"/>
    <w:rsid w:val="009264E4"/>
    <w:rsid w:val="009273A1"/>
    <w:rsid w:val="009305F7"/>
    <w:rsid w:val="009308CD"/>
    <w:rsid w:val="00930AAB"/>
    <w:rsid w:val="00932273"/>
    <w:rsid w:val="00932FC8"/>
    <w:rsid w:val="00934B78"/>
    <w:rsid w:val="00941553"/>
    <w:rsid w:val="00943AF1"/>
    <w:rsid w:val="00951CCC"/>
    <w:rsid w:val="00952FA1"/>
    <w:rsid w:val="00954610"/>
    <w:rsid w:val="00963600"/>
    <w:rsid w:val="0096398F"/>
    <w:rsid w:val="00966767"/>
    <w:rsid w:val="0097236B"/>
    <w:rsid w:val="009723CF"/>
    <w:rsid w:val="00974D64"/>
    <w:rsid w:val="00977455"/>
    <w:rsid w:val="00980A13"/>
    <w:rsid w:val="00981C08"/>
    <w:rsid w:val="00982742"/>
    <w:rsid w:val="00982D6C"/>
    <w:rsid w:val="009835A2"/>
    <w:rsid w:val="009845F5"/>
    <w:rsid w:val="0098657A"/>
    <w:rsid w:val="00990516"/>
    <w:rsid w:val="00990FDC"/>
    <w:rsid w:val="009917E0"/>
    <w:rsid w:val="00995110"/>
    <w:rsid w:val="009962E6"/>
    <w:rsid w:val="00997ED5"/>
    <w:rsid w:val="009A1E8B"/>
    <w:rsid w:val="009A2F2F"/>
    <w:rsid w:val="009A41C4"/>
    <w:rsid w:val="009A4C26"/>
    <w:rsid w:val="009B1444"/>
    <w:rsid w:val="009B2FC3"/>
    <w:rsid w:val="009B37A2"/>
    <w:rsid w:val="009B5672"/>
    <w:rsid w:val="009B5A72"/>
    <w:rsid w:val="009B6E79"/>
    <w:rsid w:val="009B749C"/>
    <w:rsid w:val="009B7EB0"/>
    <w:rsid w:val="009B7F0D"/>
    <w:rsid w:val="009C30F1"/>
    <w:rsid w:val="009D5351"/>
    <w:rsid w:val="009D6A98"/>
    <w:rsid w:val="009E186C"/>
    <w:rsid w:val="009E2A92"/>
    <w:rsid w:val="009E432D"/>
    <w:rsid w:val="009E4758"/>
    <w:rsid w:val="009E5D6B"/>
    <w:rsid w:val="009E787A"/>
    <w:rsid w:val="009F17C4"/>
    <w:rsid w:val="009F264C"/>
    <w:rsid w:val="009F27B0"/>
    <w:rsid w:val="009F4ABB"/>
    <w:rsid w:val="009F5DDE"/>
    <w:rsid w:val="00A00FC6"/>
    <w:rsid w:val="00A03B9E"/>
    <w:rsid w:val="00A10EA8"/>
    <w:rsid w:val="00A11DBC"/>
    <w:rsid w:val="00A125DE"/>
    <w:rsid w:val="00A1351F"/>
    <w:rsid w:val="00A14A1B"/>
    <w:rsid w:val="00A14C23"/>
    <w:rsid w:val="00A1694A"/>
    <w:rsid w:val="00A204E3"/>
    <w:rsid w:val="00A21613"/>
    <w:rsid w:val="00A22FE9"/>
    <w:rsid w:val="00A232A2"/>
    <w:rsid w:val="00A23E6D"/>
    <w:rsid w:val="00A23F2A"/>
    <w:rsid w:val="00A32EB8"/>
    <w:rsid w:val="00A34479"/>
    <w:rsid w:val="00A34BDA"/>
    <w:rsid w:val="00A34CAF"/>
    <w:rsid w:val="00A36787"/>
    <w:rsid w:val="00A40757"/>
    <w:rsid w:val="00A4134C"/>
    <w:rsid w:val="00A4233D"/>
    <w:rsid w:val="00A4256A"/>
    <w:rsid w:val="00A50F67"/>
    <w:rsid w:val="00A54B0A"/>
    <w:rsid w:val="00A54C37"/>
    <w:rsid w:val="00A56992"/>
    <w:rsid w:val="00A5735D"/>
    <w:rsid w:val="00A61F8A"/>
    <w:rsid w:val="00A639B3"/>
    <w:rsid w:val="00A63F20"/>
    <w:rsid w:val="00A64118"/>
    <w:rsid w:val="00A660C2"/>
    <w:rsid w:val="00A66B8B"/>
    <w:rsid w:val="00A676B6"/>
    <w:rsid w:val="00A705E3"/>
    <w:rsid w:val="00A731B0"/>
    <w:rsid w:val="00A747F2"/>
    <w:rsid w:val="00A771EF"/>
    <w:rsid w:val="00A77DD7"/>
    <w:rsid w:val="00A80316"/>
    <w:rsid w:val="00A80971"/>
    <w:rsid w:val="00A80F79"/>
    <w:rsid w:val="00A86417"/>
    <w:rsid w:val="00A87876"/>
    <w:rsid w:val="00A87DE8"/>
    <w:rsid w:val="00A919BA"/>
    <w:rsid w:val="00A92517"/>
    <w:rsid w:val="00A93A12"/>
    <w:rsid w:val="00A93C13"/>
    <w:rsid w:val="00A95590"/>
    <w:rsid w:val="00A95C31"/>
    <w:rsid w:val="00A972D7"/>
    <w:rsid w:val="00AA3299"/>
    <w:rsid w:val="00AA4E5B"/>
    <w:rsid w:val="00AA565C"/>
    <w:rsid w:val="00AA571C"/>
    <w:rsid w:val="00AA5735"/>
    <w:rsid w:val="00AA5EE2"/>
    <w:rsid w:val="00AA6006"/>
    <w:rsid w:val="00AB3F4B"/>
    <w:rsid w:val="00AB49ED"/>
    <w:rsid w:val="00AB7819"/>
    <w:rsid w:val="00AC046E"/>
    <w:rsid w:val="00AC2838"/>
    <w:rsid w:val="00AC3A1C"/>
    <w:rsid w:val="00AC467F"/>
    <w:rsid w:val="00AC4884"/>
    <w:rsid w:val="00AC7EAC"/>
    <w:rsid w:val="00AC7FB5"/>
    <w:rsid w:val="00AD6E41"/>
    <w:rsid w:val="00AE2951"/>
    <w:rsid w:val="00AE31E4"/>
    <w:rsid w:val="00AE4DA3"/>
    <w:rsid w:val="00AE557A"/>
    <w:rsid w:val="00AE64D0"/>
    <w:rsid w:val="00AE6AE9"/>
    <w:rsid w:val="00AE7EEE"/>
    <w:rsid w:val="00AF050B"/>
    <w:rsid w:val="00AF0828"/>
    <w:rsid w:val="00AF3F31"/>
    <w:rsid w:val="00B02CC5"/>
    <w:rsid w:val="00B04397"/>
    <w:rsid w:val="00B051D3"/>
    <w:rsid w:val="00B1046F"/>
    <w:rsid w:val="00B11CBE"/>
    <w:rsid w:val="00B147E8"/>
    <w:rsid w:val="00B15B7D"/>
    <w:rsid w:val="00B1616B"/>
    <w:rsid w:val="00B223A0"/>
    <w:rsid w:val="00B23553"/>
    <w:rsid w:val="00B23A64"/>
    <w:rsid w:val="00B24456"/>
    <w:rsid w:val="00B2525C"/>
    <w:rsid w:val="00B27A07"/>
    <w:rsid w:val="00B27A4B"/>
    <w:rsid w:val="00B31323"/>
    <w:rsid w:val="00B32FC3"/>
    <w:rsid w:val="00B36675"/>
    <w:rsid w:val="00B42C2A"/>
    <w:rsid w:val="00B44219"/>
    <w:rsid w:val="00B453BA"/>
    <w:rsid w:val="00B458C3"/>
    <w:rsid w:val="00B4733F"/>
    <w:rsid w:val="00B53F1B"/>
    <w:rsid w:val="00B578F9"/>
    <w:rsid w:val="00B64CAB"/>
    <w:rsid w:val="00B657B9"/>
    <w:rsid w:val="00B66B81"/>
    <w:rsid w:val="00B66E8D"/>
    <w:rsid w:val="00B70598"/>
    <w:rsid w:val="00B711FB"/>
    <w:rsid w:val="00B75285"/>
    <w:rsid w:val="00B757F9"/>
    <w:rsid w:val="00B76B5F"/>
    <w:rsid w:val="00B774E7"/>
    <w:rsid w:val="00B77FD0"/>
    <w:rsid w:val="00B80489"/>
    <w:rsid w:val="00B8227B"/>
    <w:rsid w:val="00B848A6"/>
    <w:rsid w:val="00B901DC"/>
    <w:rsid w:val="00B91346"/>
    <w:rsid w:val="00B95C17"/>
    <w:rsid w:val="00BA0475"/>
    <w:rsid w:val="00BA0533"/>
    <w:rsid w:val="00BA0E88"/>
    <w:rsid w:val="00BA1252"/>
    <w:rsid w:val="00BA1321"/>
    <w:rsid w:val="00BA183E"/>
    <w:rsid w:val="00BA18EF"/>
    <w:rsid w:val="00BA1CB5"/>
    <w:rsid w:val="00BA4BC4"/>
    <w:rsid w:val="00BA4D4C"/>
    <w:rsid w:val="00BA75F2"/>
    <w:rsid w:val="00BB14BA"/>
    <w:rsid w:val="00BB25F8"/>
    <w:rsid w:val="00BB2F5F"/>
    <w:rsid w:val="00BB3A58"/>
    <w:rsid w:val="00BB456E"/>
    <w:rsid w:val="00BB7BCA"/>
    <w:rsid w:val="00BC0F7E"/>
    <w:rsid w:val="00BC14CD"/>
    <w:rsid w:val="00BC249D"/>
    <w:rsid w:val="00BC3496"/>
    <w:rsid w:val="00BC3AD6"/>
    <w:rsid w:val="00BC4782"/>
    <w:rsid w:val="00BC4E2E"/>
    <w:rsid w:val="00BC5914"/>
    <w:rsid w:val="00BC593C"/>
    <w:rsid w:val="00BC62FE"/>
    <w:rsid w:val="00BD0FC8"/>
    <w:rsid w:val="00BD48D1"/>
    <w:rsid w:val="00BD6FFC"/>
    <w:rsid w:val="00BE1869"/>
    <w:rsid w:val="00BE1BFF"/>
    <w:rsid w:val="00BE48AC"/>
    <w:rsid w:val="00BE4D82"/>
    <w:rsid w:val="00BE5646"/>
    <w:rsid w:val="00BE58EE"/>
    <w:rsid w:val="00BE5FB9"/>
    <w:rsid w:val="00BE6857"/>
    <w:rsid w:val="00BF0A10"/>
    <w:rsid w:val="00BF209A"/>
    <w:rsid w:val="00BF5D0F"/>
    <w:rsid w:val="00BF62BC"/>
    <w:rsid w:val="00C00A93"/>
    <w:rsid w:val="00C01D40"/>
    <w:rsid w:val="00C03BA2"/>
    <w:rsid w:val="00C05823"/>
    <w:rsid w:val="00C06B23"/>
    <w:rsid w:val="00C0724D"/>
    <w:rsid w:val="00C113EC"/>
    <w:rsid w:val="00C11CD7"/>
    <w:rsid w:val="00C13445"/>
    <w:rsid w:val="00C1379B"/>
    <w:rsid w:val="00C14FDB"/>
    <w:rsid w:val="00C15A44"/>
    <w:rsid w:val="00C15DC3"/>
    <w:rsid w:val="00C1631B"/>
    <w:rsid w:val="00C164C1"/>
    <w:rsid w:val="00C166AA"/>
    <w:rsid w:val="00C16E98"/>
    <w:rsid w:val="00C17B5B"/>
    <w:rsid w:val="00C2626B"/>
    <w:rsid w:val="00C26519"/>
    <w:rsid w:val="00C26C8E"/>
    <w:rsid w:val="00C277DF"/>
    <w:rsid w:val="00C27CDC"/>
    <w:rsid w:val="00C30F58"/>
    <w:rsid w:val="00C313A8"/>
    <w:rsid w:val="00C3149D"/>
    <w:rsid w:val="00C31808"/>
    <w:rsid w:val="00C344DE"/>
    <w:rsid w:val="00C35A0B"/>
    <w:rsid w:val="00C4353C"/>
    <w:rsid w:val="00C44071"/>
    <w:rsid w:val="00C46405"/>
    <w:rsid w:val="00C4661E"/>
    <w:rsid w:val="00C46DFE"/>
    <w:rsid w:val="00C55F5F"/>
    <w:rsid w:val="00C57483"/>
    <w:rsid w:val="00C60531"/>
    <w:rsid w:val="00C60933"/>
    <w:rsid w:val="00C620A3"/>
    <w:rsid w:val="00C62119"/>
    <w:rsid w:val="00C64689"/>
    <w:rsid w:val="00C65641"/>
    <w:rsid w:val="00C713F2"/>
    <w:rsid w:val="00C71B8F"/>
    <w:rsid w:val="00C72895"/>
    <w:rsid w:val="00C728CE"/>
    <w:rsid w:val="00C73194"/>
    <w:rsid w:val="00C76761"/>
    <w:rsid w:val="00C771AF"/>
    <w:rsid w:val="00C77E5C"/>
    <w:rsid w:val="00C83FDB"/>
    <w:rsid w:val="00C87C50"/>
    <w:rsid w:val="00C9081A"/>
    <w:rsid w:val="00C9222C"/>
    <w:rsid w:val="00C92623"/>
    <w:rsid w:val="00C9305A"/>
    <w:rsid w:val="00C931A7"/>
    <w:rsid w:val="00C96BB9"/>
    <w:rsid w:val="00C96EB2"/>
    <w:rsid w:val="00C97850"/>
    <w:rsid w:val="00CA1551"/>
    <w:rsid w:val="00CA7812"/>
    <w:rsid w:val="00CA7880"/>
    <w:rsid w:val="00CA7BC2"/>
    <w:rsid w:val="00CB3C8C"/>
    <w:rsid w:val="00CB406D"/>
    <w:rsid w:val="00CB7201"/>
    <w:rsid w:val="00CC0940"/>
    <w:rsid w:val="00CC1398"/>
    <w:rsid w:val="00CC2B2D"/>
    <w:rsid w:val="00CC4D5D"/>
    <w:rsid w:val="00CD0832"/>
    <w:rsid w:val="00CD7FC2"/>
    <w:rsid w:val="00CE1005"/>
    <w:rsid w:val="00CE1F09"/>
    <w:rsid w:val="00CE35C0"/>
    <w:rsid w:val="00CE529D"/>
    <w:rsid w:val="00CE7344"/>
    <w:rsid w:val="00CE7E06"/>
    <w:rsid w:val="00CF0DAC"/>
    <w:rsid w:val="00CF227A"/>
    <w:rsid w:val="00CF2E38"/>
    <w:rsid w:val="00CF3601"/>
    <w:rsid w:val="00CF3859"/>
    <w:rsid w:val="00CF3BCF"/>
    <w:rsid w:val="00CF4EA6"/>
    <w:rsid w:val="00CF6571"/>
    <w:rsid w:val="00D00050"/>
    <w:rsid w:val="00D00D54"/>
    <w:rsid w:val="00D01878"/>
    <w:rsid w:val="00D03E0E"/>
    <w:rsid w:val="00D0533C"/>
    <w:rsid w:val="00D055F4"/>
    <w:rsid w:val="00D06960"/>
    <w:rsid w:val="00D107D2"/>
    <w:rsid w:val="00D1270F"/>
    <w:rsid w:val="00D16AD6"/>
    <w:rsid w:val="00D17138"/>
    <w:rsid w:val="00D20944"/>
    <w:rsid w:val="00D20E3C"/>
    <w:rsid w:val="00D27B64"/>
    <w:rsid w:val="00D3381E"/>
    <w:rsid w:val="00D33F40"/>
    <w:rsid w:val="00D34A38"/>
    <w:rsid w:val="00D356BD"/>
    <w:rsid w:val="00D36E57"/>
    <w:rsid w:val="00D4311B"/>
    <w:rsid w:val="00D52EED"/>
    <w:rsid w:val="00D5373B"/>
    <w:rsid w:val="00D5397F"/>
    <w:rsid w:val="00D53FA9"/>
    <w:rsid w:val="00D54025"/>
    <w:rsid w:val="00D57498"/>
    <w:rsid w:val="00D57A34"/>
    <w:rsid w:val="00D6206F"/>
    <w:rsid w:val="00D64EAB"/>
    <w:rsid w:val="00D657E0"/>
    <w:rsid w:val="00D66A16"/>
    <w:rsid w:val="00D70448"/>
    <w:rsid w:val="00D73214"/>
    <w:rsid w:val="00D73CCF"/>
    <w:rsid w:val="00D753AC"/>
    <w:rsid w:val="00D75E01"/>
    <w:rsid w:val="00D8083A"/>
    <w:rsid w:val="00D81C11"/>
    <w:rsid w:val="00D85822"/>
    <w:rsid w:val="00D85E82"/>
    <w:rsid w:val="00D86522"/>
    <w:rsid w:val="00D86E1B"/>
    <w:rsid w:val="00D874BA"/>
    <w:rsid w:val="00D920F9"/>
    <w:rsid w:val="00D931C2"/>
    <w:rsid w:val="00D94E0F"/>
    <w:rsid w:val="00D96CE0"/>
    <w:rsid w:val="00DA4E0A"/>
    <w:rsid w:val="00DA58F8"/>
    <w:rsid w:val="00DB318C"/>
    <w:rsid w:val="00DB3883"/>
    <w:rsid w:val="00DB422A"/>
    <w:rsid w:val="00DB5068"/>
    <w:rsid w:val="00DB5167"/>
    <w:rsid w:val="00DB53FB"/>
    <w:rsid w:val="00DB582F"/>
    <w:rsid w:val="00DB7FAA"/>
    <w:rsid w:val="00DC19B4"/>
    <w:rsid w:val="00DC1F34"/>
    <w:rsid w:val="00DC1FFC"/>
    <w:rsid w:val="00DC2495"/>
    <w:rsid w:val="00DC3087"/>
    <w:rsid w:val="00DC4598"/>
    <w:rsid w:val="00DC4C56"/>
    <w:rsid w:val="00DC5BAF"/>
    <w:rsid w:val="00DD0C64"/>
    <w:rsid w:val="00DD4EDF"/>
    <w:rsid w:val="00DD4F09"/>
    <w:rsid w:val="00DE0D15"/>
    <w:rsid w:val="00DE3D5A"/>
    <w:rsid w:val="00DE3ED0"/>
    <w:rsid w:val="00DE4C13"/>
    <w:rsid w:val="00DE64BE"/>
    <w:rsid w:val="00DE7D01"/>
    <w:rsid w:val="00DF3590"/>
    <w:rsid w:val="00DF43FE"/>
    <w:rsid w:val="00DF50D7"/>
    <w:rsid w:val="00DF696C"/>
    <w:rsid w:val="00E0251D"/>
    <w:rsid w:val="00E026AA"/>
    <w:rsid w:val="00E03F77"/>
    <w:rsid w:val="00E07B5E"/>
    <w:rsid w:val="00E10D38"/>
    <w:rsid w:val="00E1126E"/>
    <w:rsid w:val="00E15499"/>
    <w:rsid w:val="00E15AE0"/>
    <w:rsid w:val="00E162C1"/>
    <w:rsid w:val="00E20DEA"/>
    <w:rsid w:val="00E227CF"/>
    <w:rsid w:val="00E2544A"/>
    <w:rsid w:val="00E25E81"/>
    <w:rsid w:val="00E26C18"/>
    <w:rsid w:val="00E30B07"/>
    <w:rsid w:val="00E32755"/>
    <w:rsid w:val="00E37902"/>
    <w:rsid w:val="00E40B22"/>
    <w:rsid w:val="00E604D3"/>
    <w:rsid w:val="00E62CBD"/>
    <w:rsid w:val="00E66570"/>
    <w:rsid w:val="00E67116"/>
    <w:rsid w:val="00E6776C"/>
    <w:rsid w:val="00E7337A"/>
    <w:rsid w:val="00E7556D"/>
    <w:rsid w:val="00E7665A"/>
    <w:rsid w:val="00E81909"/>
    <w:rsid w:val="00E875CA"/>
    <w:rsid w:val="00E90735"/>
    <w:rsid w:val="00E91727"/>
    <w:rsid w:val="00E91A34"/>
    <w:rsid w:val="00E92046"/>
    <w:rsid w:val="00E92F24"/>
    <w:rsid w:val="00E93FAF"/>
    <w:rsid w:val="00E97250"/>
    <w:rsid w:val="00E97328"/>
    <w:rsid w:val="00E9747C"/>
    <w:rsid w:val="00EA0F7D"/>
    <w:rsid w:val="00EA26B1"/>
    <w:rsid w:val="00EA272A"/>
    <w:rsid w:val="00EA2AF1"/>
    <w:rsid w:val="00EA480B"/>
    <w:rsid w:val="00EA50D6"/>
    <w:rsid w:val="00EB19DE"/>
    <w:rsid w:val="00EB1A68"/>
    <w:rsid w:val="00EB25FF"/>
    <w:rsid w:val="00EB26CA"/>
    <w:rsid w:val="00EB6B0B"/>
    <w:rsid w:val="00EC0A94"/>
    <w:rsid w:val="00EC116C"/>
    <w:rsid w:val="00EC191C"/>
    <w:rsid w:val="00EC4CE6"/>
    <w:rsid w:val="00ED05D8"/>
    <w:rsid w:val="00ED0883"/>
    <w:rsid w:val="00ED0E17"/>
    <w:rsid w:val="00ED15F7"/>
    <w:rsid w:val="00ED2821"/>
    <w:rsid w:val="00ED31FF"/>
    <w:rsid w:val="00ED386A"/>
    <w:rsid w:val="00ED3D31"/>
    <w:rsid w:val="00ED534A"/>
    <w:rsid w:val="00ED5C15"/>
    <w:rsid w:val="00ED7340"/>
    <w:rsid w:val="00EE39FB"/>
    <w:rsid w:val="00EE3E41"/>
    <w:rsid w:val="00EE62BF"/>
    <w:rsid w:val="00EE6647"/>
    <w:rsid w:val="00EE774C"/>
    <w:rsid w:val="00EF1DE9"/>
    <w:rsid w:val="00EF52F8"/>
    <w:rsid w:val="00EF5D08"/>
    <w:rsid w:val="00EF6F5E"/>
    <w:rsid w:val="00F0154B"/>
    <w:rsid w:val="00F0279F"/>
    <w:rsid w:val="00F04048"/>
    <w:rsid w:val="00F05979"/>
    <w:rsid w:val="00F06E61"/>
    <w:rsid w:val="00F114FD"/>
    <w:rsid w:val="00F11CE9"/>
    <w:rsid w:val="00F123E7"/>
    <w:rsid w:val="00F12D21"/>
    <w:rsid w:val="00F13457"/>
    <w:rsid w:val="00F144B7"/>
    <w:rsid w:val="00F1616E"/>
    <w:rsid w:val="00F162CE"/>
    <w:rsid w:val="00F2064A"/>
    <w:rsid w:val="00F262B7"/>
    <w:rsid w:val="00F2720F"/>
    <w:rsid w:val="00F27C58"/>
    <w:rsid w:val="00F306DD"/>
    <w:rsid w:val="00F31769"/>
    <w:rsid w:val="00F31CA9"/>
    <w:rsid w:val="00F33958"/>
    <w:rsid w:val="00F34EDC"/>
    <w:rsid w:val="00F35933"/>
    <w:rsid w:val="00F360BB"/>
    <w:rsid w:val="00F3703B"/>
    <w:rsid w:val="00F405F3"/>
    <w:rsid w:val="00F417BF"/>
    <w:rsid w:val="00F43324"/>
    <w:rsid w:val="00F435A0"/>
    <w:rsid w:val="00F44C0C"/>
    <w:rsid w:val="00F46792"/>
    <w:rsid w:val="00F51941"/>
    <w:rsid w:val="00F51C90"/>
    <w:rsid w:val="00F521A3"/>
    <w:rsid w:val="00F52DD3"/>
    <w:rsid w:val="00F537A7"/>
    <w:rsid w:val="00F54093"/>
    <w:rsid w:val="00F5784A"/>
    <w:rsid w:val="00F57EF1"/>
    <w:rsid w:val="00F620FF"/>
    <w:rsid w:val="00F664AB"/>
    <w:rsid w:val="00F709EF"/>
    <w:rsid w:val="00F80B9C"/>
    <w:rsid w:val="00F80FE2"/>
    <w:rsid w:val="00F8221D"/>
    <w:rsid w:val="00F87ABC"/>
    <w:rsid w:val="00F905BD"/>
    <w:rsid w:val="00F9194C"/>
    <w:rsid w:val="00F94150"/>
    <w:rsid w:val="00F94476"/>
    <w:rsid w:val="00F9553C"/>
    <w:rsid w:val="00F961C9"/>
    <w:rsid w:val="00F97140"/>
    <w:rsid w:val="00FA0629"/>
    <w:rsid w:val="00FA349B"/>
    <w:rsid w:val="00FA3E99"/>
    <w:rsid w:val="00FA44DC"/>
    <w:rsid w:val="00FA46E6"/>
    <w:rsid w:val="00FA6488"/>
    <w:rsid w:val="00FA713A"/>
    <w:rsid w:val="00FB2683"/>
    <w:rsid w:val="00FC0758"/>
    <w:rsid w:val="00FC0EF8"/>
    <w:rsid w:val="00FC0F43"/>
    <w:rsid w:val="00FC2C7C"/>
    <w:rsid w:val="00FC3F40"/>
    <w:rsid w:val="00FD2610"/>
    <w:rsid w:val="00FD31F8"/>
    <w:rsid w:val="00FD394B"/>
    <w:rsid w:val="00FD4128"/>
    <w:rsid w:val="00FE0046"/>
    <w:rsid w:val="00FE0231"/>
    <w:rsid w:val="00FE18EB"/>
    <w:rsid w:val="00FE5272"/>
    <w:rsid w:val="00FE6141"/>
    <w:rsid w:val="00FE78C4"/>
    <w:rsid w:val="00FE7BB7"/>
    <w:rsid w:val="00FF2E62"/>
    <w:rsid w:val="00FF47D7"/>
    <w:rsid w:val="00FF7B06"/>
    <w:rsid w:val="11C11214"/>
    <w:rsid w:val="120C7329"/>
    <w:rsid w:val="12151ECE"/>
    <w:rsid w:val="158C17BA"/>
    <w:rsid w:val="1A9E3C12"/>
    <w:rsid w:val="23955D51"/>
    <w:rsid w:val="25C47B8F"/>
    <w:rsid w:val="2B69018E"/>
    <w:rsid w:val="2BB61BAD"/>
    <w:rsid w:val="2DF03963"/>
    <w:rsid w:val="34B346B2"/>
    <w:rsid w:val="397A17A6"/>
    <w:rsid w:val="3A363201"/>
    <w:rsid w:val="47F95F8C"/>
    <w:rsid w:val="4A654202"/>
    <w:rsid w:val="4E5F4D4B"/>
    <w:rsid w:val="52373146"/>
    <w:rsid w:val="530103EA"/>
    <w:rsid w:val="547B1586"/>
    <w:rsid w:val="55546199"/>
    <w:rsid w:val="5F5A705E"/>
    <w:rsid w:val="618A05F1"/>
    <w:rsid w:val="6B703A5F"/>
    <w:rsid w:val="6BD313B3"/>
    <w:rsid w:val="6D155C33"/>
    <w:rsid w:val="6E1B7FF1"/>
    <w:rsid w:val="6F2B0871"/>
    <w:rsid w:val="71A23717"/>
    <w:rsid w:val="732857F3"/>
    <w:rsid w:val="73AA04EE"/>
    <w:rsid w:val="749D4D9D"/>
    <w:rsid w:val="775841CD"/>
    <w:rsid w:val="7D6A0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C438F"/>
  <w15:docId w15:val="{75E54FCC-AEC8-4F65-9879-B82D54EBE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afterLines="50" w:after="50"/>
      <w:jc w:val="both"/>
    </w:pPr>
    <w:rPr>
      <w:rFonts w:eastAsia="Times New Roman" w:cstheme="minorBidi"/>
      <w:kern w:val="2"/>
      <w:szCs w:val="21"/>
    </w:rPr>
  </w:style>
  <w:style w:type="paragraph" w:styleId="1">
    <w:name w:val="heading 1"/>
    <w:basedOn w:val="a"/>
    <w:next w:val="a"/>
    <w:link w:val="10"/>
    <w:qFormat/>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pPr>
      <w:numPr>
        <w:ilvl w:val="1"/>
        <w:numId w:val="1"/>
      </w:numPr>
      <w:spacing w:before="120" w:after="120"/>
      <w:ind w:left="0" w:firstLine="0"/>
      <w:outlineLvl w:val="1"/>
    </w:pPr>
    <w:rPr>
      <w:rFonts w:eastAsia="宋体"/>
      <w:sz w:val="24"/>
      <w:szCs w:val="24"/>
    </w:rPr>
  </w:style>
  <w:style w:type="paragraph" w:styleId="3">
    <w:name w:val="heading 3"/>
    <w:basedOn w:val="2"/>
    <w:next w:val="a"/>
    <w:link w:val="30"/>
    <w:qFormat/>
    <w:pPr>
      <w:outlineLvl w:val="2"/>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qFormat/>
    <w:pPr>
      <w:jc w:val="left"/>
    </w:pPr>
  </w:style>
  <w:style w:type="paragraph" w:styleId="TOC3">
    <w:name w:val="toc 3"/>
    <w:basedOn w:val="a"/>
    <w:next w:val="a"/>
    <w:autoRedefine/>
    <w:uiPriority w:val="39"/>
    <w:unhideWhenUsed/>
    <w:qFormat/>
    <w:pPr>
      <w:tabs>
        <w:tab w:val="left" w:pos="1260"/>
        <w:tab w:val="right" w:leader="dot" w:pos="9346"/>
      </w:tabs>
      <w:spacing w:before="156" w:after="156"/>
      <w:ind w:leftChars="400" w:left="1202" w:hangingChars="200" w:hanging="402"/>
    </w:pPr>
    <w:rPr>
      <w:rFonts w:cs="Times New Roman"/>
      <w:b/>
      <w:i/>
      <w:szCs w:val="20"/>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260"/>
        <w:tab w:val="right" w:leader="dot" w:pos="9346"/>
      </w:tabs>
      <w:spacing w:before="156" w:after="156"/>
    </w:pPr>
    <w:rPr>
      <w:rFonts w:cs="Times New Roman"/>
      <w:b/>
      <w:i/>
      <w:szCs w:val="20"/>
    </w:rPr>
  </w:style>
  <w:style w:type="paragraph" w:styleId="a9">
    <w:name w:val="List"/>
    <w:basedOn w:val="a"/>
    <w:uiPriority w:val="99"/>
    <w:semiHidden/>
    <w:unhideWhenUsed/>
    <w:qFormat/>
    <w:pPr>
      <w:ind w:left="200" w:hangingChars="200" w:hanging="200"/>
      <w:contextualSpacing/>
    </w:pPr>
  </w:style>
  <w:style w:type="paragraph" w:styleId="TOC2">
    <w:name w:val="toc 2"/>
    <w:basedOn w:val="a"/>
    <w:next w:val="a"/>
    <w:autoRedefine/>
    <w:uiPriority w:val="39"/>
    <w:unhideWhenUsed/>
    <w:qFormat/>
    <w:pPr>
      <w:ind w:leftChars="200" w:left="400" w:hangingChars="200" w:hanging="200"/>
    </w:pPr>
    <w:rPr>
      <w:rFonts w:cs="Times New Roman"/>
      <w:b/>
      <w:i/>
      <w:szCs w:val="20"/>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qFormat/>
    <w:rPr>
      <w:color w:val="0563C1" w:themeColor="hyperlink"/>
      <w:u w:val="single"/>
    </w:rPr>
  </w:style>
  <w:style w:type="character" w:styleId="ac">
    <w:name w:val="annotation reference"/>
    <w:basedOn w:val="a0"/>
    <w:semiHidden/>
    <w:qFormat/>
    <w:rPr>
      <w:sz w:val="16"/>
    </w:rPr>
  </w:style>
  <w:style w:type="paragraph" w:styleId="ad">
    <w:name w:val="List Paragraph"/>
    <w:basedOn w:val="a"/>
    <w:uiPriority w:val="34"/>
    <w:qFormat/>
    <w:pPr>
      <w:spacing w:beforeLines="0" w:before="0" w:afterLines="0" w:after="0"/>
      <w:ind w:firstLineChars="200" w:firstLine="200"/>
    </w:pPr>
  </w:style>
  <w:style w:type="character" w:customStyle="1" w:styleId="10">
    <w:name w:val="标题 1 字符"/>
    <w:basedOn w:val="a0"/>
    <w:link w:val="1"/>
    <w:qFormat/>
    <w:rPr>
      <w:rFonts w:ascii="Times New Roman" w:eastAsia="Times New Roman" w:hAnsi="Times New Roman" w:cs="Times New Roman"/>
      <w:b/>
      <w:bCs/>
      <w:kern w:val="44"/>
      <w:sz w:val="44"/>
      <w:szCs w:val="44"/>
    </w:rPr>
  </w:style>
  <w:style w:type="character" w:customStyle="1" w:styleId="20">
    <w:name w:val="标题 2 字符"/>
    <w:basedOn w:val="a0"/>
    <w:link w:val="2"/>
    <w:qFormat/>
    <w:rPr>
      <w:rFonts w:ascii="Times New Roman" w:eastAsia="宋体" w:hAnsi="Times New Roman"/>
      <w:b/>
      <w:sz w:val="24"/>
      <w:szCs w:val="24"/>
    </w:rPr>
  </w:style>
  <w:style w:type="character" w:customStyle="1" w:styleId="30">
    <w:name w:val="标题 3 字符"/>
    <w:basedOn w:val="a0"/>
    <w:link w:val="3"/>
    <w:qFormat/>
    <w:rPr>
      <w:rFonts w:ascii="Times New Roman" w:eastAsia="宋体" w:hAnsi="Times New Roman"/>
      <w:b/>
      <w:szCs w:val="24"/>
    </w:rPr>
  </w:style>
  <w:style w:type="paragraph" w:customStyle="1" w:styleId="1st-Proposal-YJ">
    <w:name w:val="1st-Proposal-YJ"/>
    <w:basedOn w:val="a"/>
    <w:qFormat/>
    <w:pPr>
      <w:numPr>
        <w:numId w:val="2"/>
      </w:numPr>
      <w:snapToGrid w:val="0"/>
    </w:pPr>
    <w:rPr>
      <w:rFonts w:cs="Times New Roman"/>
      <w:b/>
      <w:i/>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character" w:customStyle="1" w:styleId="a8">
    <w:name w:val="页眉 字符"/>
    <w:basedOn w:val="a0"/>
    <w:link w:val="a7"/>
    <w:uiPriority w:val="99"/>
    <w:qFormat/>
    <w:rPr>
      <w:rFonts w:eastAsia="Times New Roman"/>
      <w:sz w:val="18"/>
      <w:szCs w:val="18"/>
    </w:rPr>
  </w:style>
  <w:style w:type="character" w:customStyle="1" w:styleId="a6">
    <w:name w:val="页脚 字符"/>
    <w:basedOn w:val="a0"/>
    <w:link w:val="a5"/>
    <w:uiPriority w:val="99"/>
    <w:qFormat/>
    <w:rPr>
      <w:rFonts w:eastAsia="Times New Roman"/>
      <w:sz w:val="18"/>
      <w:szCs w:val="18"/>
    </w:rPr>
  </w:style>
  <w:style w:type="paragraph" w:customStyle="1" w:styleId="1st-ob-YJ">
    <w:name w:val="1st-ob-YJ"/>
    <w:basedOn w:val="1st-Proposal-YJ"/>
    <w:qFormat/>
    <w:pPr>
      <w:numPr>
        <w:numId w:val="3"/>
      </w:numPr>
    </w:pPr>
  </w:style>
  <w:style w:type="paragraph" w:customStyle="1" w:styleId="2nd-ob-YJ">
    <w:name w:val="2nd-ob-YJ"/>
    <w:basedOn w:val="2nd-proposal-YJ"/>
    <w:qFormat/>
    <w:pPr>
      <w:numPr>
        <w:numId w:val="3"/>
      </w:numPr>
    </w:pPr>
    <w:rPr>
      <w:rFonts w:eastAsiaTheme="minorEastAsia"/>
    </w:rPr>
  </w:style>
  <w:style w:type="paragraph" w:customStyle="1" w:styleId="3nd-ob-YJ">
    <w:name w:val="3nd-ob-YJ"/>
    <w:basedOn w:val="3nd-proposal-YJ"/>
    <w:qFormat/>
    <w:pPr>
      <w:numPr>
        <w:numId w:val="3"/>
      </w:numPr>
    </w:pPr>
  </w:style>
  <w:style w:type="paragraph" w:customStyle="1" w:styleId="B1">
    <w:name w:val="B1"/>
    <w:basedOn w:val="a9"/>
    <w:link w:val="B1Zchn"/>
    <w:qFormat/>
    <w:pPr>
      <w:overflowPunct w:val="0"/>
      <w:autoSpaceDE w:val="0"/>
      <w:autoSpaceDN w:val="0"/>
      <w:adjustRightInd w:val="0"/>
      <w:spacing w:beforeLines="0" w:before="0" w:afterLines="0" w:after="180"/>
      <w:ind w:left="568" w:firstLineChars="0" w:hanging="284"/>
      <w:contextualSpacing w:val="0"/>
      <w:jc w:val="left"/>
      <w:textAlignment w:val="baseline"/>
    </w:pPr>
    <w:rPr>
      <w:rFonts w:cs="Times New Roman"/>
      <w:kern w:val="0"/>
      <w:szCs w:val="20"/>
      <w:lang w:val="en-GB"/>
    </w:rPr>
  </w:style>
  <w:style w:type="character" w:customStyle="1" w:styleId="B1Zchn">
    <w:name w:val="B1 Zchn"/>
    <w:link w:val="B1"/>
    <w:qFormat/>
    <w:rPr>
      <w:rFonts w:ascii="Times New Roman" w:eastAsia="Times New Roman" w:hAnsi="Times New Roman" w:cs="Times New Roman"/>
      <w:lang w:val="en-GB"/>
    </w:rPr>
  </w:style>
  <w:style w:type="character" w:customStyle="1" w:styleId="a4">
    <w:name w:val="批注文字 字符"/>
    <w:basedOn w:val="a0"/>
    <w:link w:val="a3"/>
    <w:semiHidden/>
    <w:qFormat/>
    <w:rPr>
      <w:rFonts w:ascii="Times New Roman" w:eastAsia="Times New Roman" w:hAnsi="Times New Roman"/>
      <w:kern w:val="2"/>
      <w:szCs w:val="21"/>
    </w:rPr>
  </w:style>
  <w:style w:type="paragraph" w:customStyle="1" w:styleId="11">
    <w:name w:val="修订1"/>
    <w:hidden/>
    <w:uiPriority w:val="99"/>
    <w:unhideWhenUsed/>
    <w:qFormat/>
    <w:rPr>
      <w:rFonts w:eastAsia="Times New Roman" w:cstheme="minorBidi"/>
      <w:kern w:val="2"/>
      <w:szCs w:val="21"/>
    </w:rPr>
  </w:style>
  <w:style w:type="paragraph" w:customStyle="1" w:styleId="21">
    <w:name w:val="修订2"/>
    <w:hidden/>
    <w:uiPriority w:val="99"/>
    <w:unhideWhenUsed/>
    <w:qFormat/>
    <w:rPr>
      <w:rFonts w:eastAsia="Times New Roman" w:cstheme="minorBidi"/>
      <w:kern w:val="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2033</Words>
  <Characters>11143</Characters>
  <Application>Microsoft Office Word</Application>
  <DocSecurity>0</DocSecurity>
  <Lines>182</Lines>
  <Paragraphs>102</Paragraphs>
  <ScaleCrop>false</ScaleCrop>
  <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tengrui</dc:creator>
  <cp:lastModifiedBy>Yingying Wang CSCN</cp:lastModifiedBy>
  <cp:revision>1225</cp:revision>
  <dcterms:created xsi:type="dcterms:W3CDTF">2025-09-12T08:09:00Z</dcterms:created>
  <dcterms:modified xsi:type="dcterms:W3CDTF">2025-09-30T10:20:00Z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5EF042C48A88483BA81840204A8F45E2_13</vt:lpwstr>
  </property>
  <property fmtid="{D5CDD505-2E9C-101B-9397-08002B2CF9AE}" pid="4" name="KSOTemplateDocerSaveRecord">
    <vt:lpwstr>eyJoZGlkIjoiYzgyYWExZDAyNmVmNzhjMmIzOGU2YjllYjc2NDA5NGIiLCJ1c2VySWQiOiIyNTQ2MTIxNDAifQ==</vt:lpwstr>
  </property>
</Properties>
</file>